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513" w:rsidRDefault="00A95BAB" w:rsidP="00DD1513">
      <w:pPr>
        <w:jc w:val="right"/>
        <w:rPr>
          <w:rFonts w:ascii="Arial" w:hAnsi="Arial" w:cs="Arial"/>
          <w:sz w:val="20"/>
          <w:szCs w:val="20"/>
        </w:rPr>
      </w:pPr>
      <w:bookmarkStart w:id="0" w:name="_GoBack"/>
      <w:bookmarkEnd w:id="0"/>
      <w:r>
        <w:rPr>
          <w:rFonts w:ascii="Arial" w:hAnsi="Arial" w:cs="Arial"/>
          <w:sz w:val="20"/>
          <w:szCs w:val="20"/>
        </w:rPr>
        <w:t>Version 1.3</w:t>
      </w:r>
    </w:p>
    <w:p w:rsidR="00DD1513" w:rsidRPr="00DD1513" w:rsidRDefault="005802B1" w:rsidP="00DD1513">
      <w:pPr>
        <w:jc w:val="right"/>
        <w:rPr>
          <w:rFonts w:ascii="Arial" w:hAnsi="Arial" w:cs="Arial"/>
          <w:sz w:val="20"/>
          <w:szCs w:val="20"/>
        </w:rPr>
      </w:pPr>
      <w:r>
        <w:rPr>
          <w:rFonts w:ascii="Arial" w:hAnsi="Arial" w:cs="Arial"/>
          <w:sz w:val="20"/>
          <w:szCs w:val="20"/>
        </w:rPr>
        <w:t>3/17</w:t>
      </w:r>
      <w:r w:rsidR="00DD1513" w:rsidRPr="00DD1513">
        <w:rPr>
          <w:rFonts w:ascii="Arial" w:hAnsi="Arial" w:cs="Arial"/>
          <w:sz w:val="20"/>
          <w:szCs w:val="20"/>
        </w:rPr>
        <w:t>/2016</w:t>
      </w:r>
    </w:p>
    <w:p w:rsidR="00DD1513" w:rsidRDefault="00DD1513" w:rsidP="00DD1513">
      <w:pPr>
        <w:rPr>
          <w:rFonts w:ascii="Arial" w:hAnsi="Arial" w:cs="Arial"/>
          <w:b/>
        </w:rPr>
      </w:pPr>
    </w:p>
    <w:p w:rsidR="00913319" w:rsidRPr="00913319" w:rsidRDefault="00913319" w:rsidP="00DD1513">
      <w:pPr>
        <w:jc w:val="center"/>
        <w:rPr>
          <w:rFonts w:ascii="Arial" w:hAnsi="Arial" w:cs="Arial"/>
          <w:b/>
        </w:rPr>
      </w:pPr>
      <w:r w:rsidRPr="00913319">
        <w:rPr>
          <w:rFonts w:ascii="Arial" w:hAnsi="Arial" w:cs="Arial"/>
          <w:b/>
        </w:rPr>
        <w:t>Attachment 52</w:t>
      </w:r>
    </w:p>
    <w:p w:rsidR="00913319" w:rsidRPr="00913319" w:rsidRDefault="00913319" w:rsidP="00913319">
      <w:pPr>
        <w:jc w:val="center"/>
        <w:rPr>
          <w:rFonts w:ascii="Arial" w:hAnsi="Arial" w:cs="Arial"/>
          <w:b/>
          <w:sz w:val="24"/>
          <w:szCs w:val="24"/>
        </w:rPr>
      </w:pPr>
      <w:r w:rsidRPr="00913319">
        <w:rPr>
          <w:rFonts w:ascii="Arial" w:hAnsi="Arial" w:cs="Arial"/>
          <w:b/>
          <w:sz w:val="24"/>
          <w:szCs w:val="24"/>
        </w:rPr>
        <w:t xml:space="preserve">How Planned Adaptation Works in Practice:  </w:t>
      </w:r>
      <w:r>
        <w:rPr>
          <w:rFonts w:ascii="Arial" w:hAnsi="Arial" w:cs="Arial"/>
          <w:b/>
          <w:sz w:val="24"/>
          <w:szCs w:val="24"/>
        </w:rPr>
        <w:t xml:space="preserve">Seven </w:t>
      </w:r>
      <w:r w:rsidRPr="00913319">
        <w:rPr>
          <w:rFonts w:ascii="Arial" w:hAnsi="Arial" w:cs="Arial"/>
          <w:b/>
          <w:sz w:val="24"/>
          <w:szCs w:val="24"/>
        </w:rPr>
        <w:t>Case Examples</w:t>
      </w:r>
    </w:p>
    <w:p w:rsidR="00913319" w:rsidRDefault="00913319" w:rsidP="00913319">
      <w:pPr>
        <w:rPr>
          <w:rFonts w:ascii="Arial" w:hAnsi="Arial" w:cs="Arial"/>
        </w:rPr>
      </w:pPr>
    </w:p>
    <w:p w:rsidR="001D05D7" w:rsidRPr="005802B1" w:rsidRDefault="00B81F94" w:rsidP="006A2E19">
      <w:pPr>
        <w:jc w:val="both"/>
        <w:rPr>
          <w:rFonts w:ascii="Arial" w:hAnsi="Arial" w:cs="Arial"/>
        </w:rPr>
      </w:pPr>
      <w:r w:rsidRPr="005802B1">
        <w:rPr>
          <w:rFonts w:ascii="Arial" w:hAnsi="Arial" w:cs="Arial"/>
        </w:rPr>
        <w:t>Starting by identifying policy are</w:t>
      </w:r>
      <w:r w:rsidR="00766CAD">
        <w:rPr>
          <w:rFonts w:ascii="Arial" w:hAnsi="Arial" w:cs="Arial"/>
        </w:rPr>
        <w:t>n</w:t>
      </w:r>
      <w:r w:rsidRPr="005802B1">
        <w:rPr>
          <w:rFonts w:ascii="Arial" w:hAnsi="Arial" w:cs="Arial"/>
        </w:rPr>
        <w:t>as for which outcomes have</w:t>
      </w:r>
      <w:r w:rsidR="001D05D7" w:rsidRPr="005802B1">
        <w:rPr>
          <w:rFonts w:ascii="Arial" w:hAnsi="Arial" w:cs="Arial"/>
        </w:rPr>
        <w:t>, by objective measures,</w:t>
      </w:r>
      <w:r w:rsidRPr="005802B1">
        <w:rPr>
          <w:rFonts w:ascii="Arial" w:hAnsi="Arial" w:cs="Arial"/>
        </w:rPr>
        <w:t xml:space="preserve"> improved meaningfully over time, MIT researchers have attempted to d</w:t>
      </w:r>
      <w:r w:rsidR="00D96457" w:rsidRPr="005802B1">
        <w:rPr>
          <w:rFonts w:ascii="Arial" w:hAnsi="Arial" w:cs="Arial"/>
        </w:rPr>
        <w:t xml:space="preserve">iscover the </w:t>
      </w:r>
      <w:r w:rsidR="00A6540A" w:rsidRPr="005802B1">
        <w:rPr>
          <w:rFonts w:ascii="Arial" w:hAnsi="Arial" w:cs="Arial"/>
        </w:rPr>
        <w:t xml:space="preserve">adaptive </w:t>
      </w:r>
      <w:r w:rsidR="00766CAD">
        <w:rPr>
          <w:rFonts w:ascii="Arial" w:hAnsi="Arial" w:cs="Arial"/>
        </w:rPr>
        <w:t>decision</w:t>
      </w:r>
      <w:r w:rsidR="001D05D7" w:rsidRPr="005802B1">
        <w:rPr>
          <w:rFonts w:ascii="Arial" w:hAnsi="Arial" w:cs="Arial"/>
        </w:rPr>
        <w:t xml:space="preserve"> </w:t>
      </w:r>
      <w:r w:rsidRPr="005802B1">
        <w:rPr>
          <w:rFonts w:ascii="Arial" w:hAnsi="Arial" w:cs="Arial"/>
        </w:rPr>
        <w:t>mechan</w:t>
      </w:r>
      <w:r w:rsidR="006C1CC7" w:rsidRPr="005802B1">
        <w:rPr>
          <w:rFonts w:ascii="Arial" w:hAnsi="Arial" w:cs="Arial"/>
        </w:rPr>
        <w:t xml:space="preserve">isms that </w:t>
      </w:r>
      <w:r w:rsidR="00766CAD">
        <w:rPr>
          <w:rFonts w:ascii="Arial" w:hAnsi="Arial" w:cs="Arial"/>
        </w:rPr>
        <w:t xml:space="preserve">have </w:t>
      </w:r>
      <w:r w:rsidR="006C1CC7" w:rsidRPr="005802B1">
        <w:rPr>
          <w:rFonts w:ascii="Arial" w:hAnsi="Arial" w:cs="Arial"/>
        </w:rPr>
        <w:t xml:space="preserve">helped </w:t>
      </w:r>
      <w:r w:rsidR="00A6540A" w:rsidRPr="005802B1">
        <w:rPr>
          <w:rFonts w:ascii="Arial" w:hAnsi="Arial" w:cs="Arial"/>
        </w:rPr>
        <w:t>reach</w:t>
      </w:r>
      <w:r w:rsidR="00766CAD">
        <w:rPr>
          <w:rFonts w:ascii="Arial" w:hAnsi="Arial" w:cs="Arial"/>
        </w:rPr>
        <w:t xml:space="preserve"> those</w:t>
      </w:r>
      <w:r w:rsidR="005802B1" w:rsidRPr="005802B1">
        <w:rPr>
          <w:rFonts w:ascii="Arial" w:hAnsi="Arial" w:cs="Arial"/>
        </w:rPr>
        <w:t xml:space="preserve"> </w:t>
      </w:r>
      <w:r w:rsidR="00766CAD">
        <w:rPr>
          <w:rFonts w:ascii="Arial" w:hAnsi="Arial" w:cs="Arial"/>
        </w:rPr>
        <w:t xml:space="preserve">superior </w:t>
      </w:r>
      <w:r w:rsidR="005802B1" w:rsidRPr="005802B1">
        <w:rPr>
          <w:rFonts w:ascii="Arial" w:hAnsi="Arial" w:cs="Arial"/>
        </w:rPr>
        <w:t>outcomes</w:t>
      </w:r>
      <w:r w:rsidR="00766CAD">
        <w:rPr>
          <w:rFonts w:ascii="Arial" w:hAnsi="Arial" w:cs="Arial"/>
        </w:rPr>
        <w:t xml:space="preserve"> over time</w:t>
      </w:r>
      <w:r w:rsidR="005802B1" w:rsidRPr="005802B1">
        <w:rPr>
          <w:rFonts w:ascii="Arial" w:hAnsi="Arial" w:cs="Arial"/>
        </w:rPr>
        <w:t xml:space="preserve">.  The term </w:t>
      </w:r>
      <w:r w:rsidR="005802B1">
        <w:rPr>
          <w:rFonts w:ascii="Arial" w:hAnsi="Arial" w:cs="Arial"/>
        </w:rPr>
        <w:t>“</w:t>
      </w:r>
      <w:r w:rsidR="005802B1" w:rsidRPr="005802B1">
        <w:rPr>
          <w:rFonts w:ascii="Arial" w:hAnsi="Arial" w:cs="Arial"/>
        </w:rPr>
        <w:t>Planned Adaptation</w:t>
      </w:r>
      <w:r w:rsidR="005802B1">
        <w:rPr>
          <w:rFonts w:ascii="Arial" w:hAnsi="Arial" w:cs="Arial"/>
        </w:rPr>
        <w:t>” is used here to signify such mechanisms.</w:t>
      </w:r>
      <w:r w:rsidR="005802B1">
        <w:rPr>
          <w:rStyle w:val="EndnoteReference"/>
          <w:rFonts w:ascii="Arial" w:hAnsi="Arial" w:cs="Arial"/>
        </w:rPr>
        <w:endnoteReference w:id="1"/>
      </w:r>
      <w:r w:rsidR="00A6540A" w:rsidRPr="005802B1">
        <w:rPr>
          <w:rFonts w:ascii="Arial" w:hAnsi="Arial" w:cs="Arial"/>
        </w:rPr>
        <w:t xml:space="preserve"> </w:t>
      </w:r>
      <w:r w:rsidR="001D05D7" w:rsidRPr="005802B1">
        <w:rPr>
          <w:rFonts w:ascii="Arial" w:hAnsi="Arial" w:cs="Arial"/>
        </w:rPr>
        <w:t xml:space="preserve">  </w:t>
      </w:r>
    </w:p>
    <w:p w:rsidR="00DD76E0" w:rsidRPr="00913319" w:rsidRDefault="001D05D7" w:rsidP="006A2E19">
      <w:pPr>
        <w:jc w:val="both"/>
        <w:rPr>
          <w:rFonts w:ascii="Arial" w:hAnsi="Arial" w:cs="Arial"/>
        </w:rPr>
      </w:pPr>
      <w:r>
        <w:rPr>
          <w:rFonts w:ascii="Arial" w:hAnsi="Arial" w:cs="Arial"/>
        </w:rPr>
        <w:t xml:space="preserve">The cases show a range of </w:t>
      </w:r>
      <w:r w:rsidR="0075619F">
        <w:rPr>
          <w:rFonts w:ascii="Arial" w:hAnsi="Arial" w:cs="Arial"/>
        </w:rPr>
        <w:t xml:space="preserve">practical ways to make sure that policy can, over time, stay abreast of hard-to-anticipate changes in science, technology, and public opinion.  One thing these cases have in common is a way of rewarding those who seek new knowledge relating to </w:t>
      </w:r>
      <w:r w:rsidR="006C1CC7">
        <w:rPr>
          <w:rFonts w:ascii="Arial" w:hAnsi="Arial" w:cs="Arial"/>
        </w:rPr>
        <w:t>the benefits and risks of existing policies and standards. T</w:t>
      </w:r>
      <w:r w:rsidR="00A6540A">
        <w:rPr>
          <w:rFonts w:ascii="Arial" w:hAnsi="Arial" w:cs="Arial"/>
        </w:rPr>
        <w:t xml:space="preserve">he cases also reflect </w:t>
      </w:r>
      <w:r w:rsidR="0075619F">
        <w:rPr>
          <w:rFonts w:ascii="Arial" w:hAnsi="Arial" w:cs="Arial"/>
        </w:rPr>
        <w:t xml:space="preserve">a </w:t>
      </w:r>
      <w:r w:rsidR="006C1CC7">
        <w:rPr>
          <w:rFonts w:ascii="Arial" w:hAnsi="Arial" w:cs="Arial"/>
        </w:rPr>
        <w:t xml:space="preserve">general </w:t>
      </w:r>
      <w:r w:rsidR="0075619F">
        <w:rPr>
          <w:rFonts w:ascii="Arial" w:hAnsi="Arial" w:cs="Arial"/>
        </w:rPr>
        <w:t xml:space="preserve">willingness to acknowledge that the assumptions that underlay past policy decisions may need </w:t>
      </w:r>
      <w:r w:rsidR="00A6540A">
        <w:rPr>
          <w:rFonts w:ascii="Arial" w:hAnsi="Arial" w:cs="Arial"/>
        </w:rPr>
        <w:t xml:space="preserve">to be </w:t>
      </w:r>
      <w:r w:rsidR="0075619F">
        <w:rPr>
          <w:rFonts w:ascii="Arial" w:hAnsi="Arial" w:cs="Arial"/>
        </w:rPr>
        <w:t>correct</w:t>
      </w:r>
      <w:r w:rsidR="00A6540A">
        <w:rPr>
          <w:rFonts w:ascii="Arial" w:hAnsi="Arial" w:cs="Arial"/>
        </w:rPr>
        <w:t>ed</w:t>
      </w:r>
      <w:r w:rsidR="00B20B2E">
        <w:rPr>
          <w:rFonts w:ascii="Arial" w:hAnsi="Arial" w:cs="Arial"/>
        </w:rPr>
        <w:t xml:space="preserve"> in order to further improve decision outcomes.</w:t>
      </w:r>
      <w:r w:rsidR="00B81F94">
        <w:rPr>
          <w:rFonts w:ascii="Arial" w:hAnsi="Arial" w:cs="Arial"/>
        </w:rPr>
        <w:t xml:space="preserve"> </w:t>
      </w:r>
    </w:p>
    <w:p w:rsidR="00913319" w:rsidRPr="00913319" w:rsidRDefault="00913319" w:rsidP="00913319">
      <w:pPr>
        <w:jc w:val="both"/>
        <w:rPr>
          <w:rFonts w:ascii="Arial" w:hAnsi="Arial" w:cs="Arial"/>
        </w:rPr>
      </w:pPr>
    </w:p>
    <w:p w:rsidR="00913319" w:rsidRPr="00DD1513" w:rsidRDefault="00913319" w:rsidP="00913319">
      <w:pPr>
        <w:jc w:val="both"/>
        <w:rPr>
          <w:rFonts w:ascii="Arial" w:hAnsi="Arial" w:cs="Arial"/>
          <w:i/>
          <w:u w:val="single"/>
        </w:rPr>
      </w:pPr>
      <w:r w:rsidRPr="00DD1513">
        <w:rPr>
          <w:rFonts w:ascii="Arial" w:hAnsi="Arial" w:cs="Arial"/>
          <w:i/>
          <w:u w:val="single"/>
        </w:rPr>
        <w:t>[] Internet Standards</w:t>
      </w:r>
    </w:p>
    <w:p w:rsidR="00D96457" w:rsidRDefault="00A95BAB" w:rsidP="00913319">
      <w:pPr>
        <w:jc w:val="both"/>
        <w:rPr>
          <w:rFonts w:ascii="Arial" w:hAnsi="Arial" w:cs="Arial"/>
        </w:rPr>
      </w:pPr>
      <w:r>
        <w:rPr>
          <w:rFonts w:ascii="Arial" w:hAnsi="Arial" w:cs="Arial"/>
        </w:rPr>
        <w:t>G</w:t>
      </w:r>
      <w:r w:rsidR="00913319" w:rsidRPr="00913319">
        <w:rPr>
          <w:rFonts w:ascii="Arial" w:hAnsi="Arial" w:cs="Arial"/>
        </w:rPr>
        <w:t xml:space="preserve">overnment </w:t>
      </w:r>
      <w:r w:rsidR="00307D50">
        <w:rPr>
          <w:rFonts w:ascii="Arial" w:hAnsi="Arial" w:cs="Arial"/>
        </w:rPr>
        <w:t xml:space="preserve">entities </w:t>
      </w:r>
      <w:r w:rsidR="00913319" w:rsidRPr="00913319">
        <w:rPr>
          <w:rFonts w:ascii="Arial" w:hAnsi="Arial" w:cs="Arial"/>
        </w:rPr>
        <w:t>attempted to set standards fo</w:t>
      </w:r>
      <w:r w:rsidR="00D96457">
        <w:rPr>
          <w:rFonts w:ascii="Arial" w:hAnsi="Arial" w:cs="Arial"/>
        </w:rPr>
        <w:t>r internet protocols over three decades ago, but could</w:t>
      </w:r>
      <w:r w:rsidR="00913319" w:rsidRPr="00913319">
        <w:rPr>
          <w:rFonts w:ascii="Arial" w:hAnsi="Arial" w:cs="Arial"/>
        </w:rPr>
        <w:t xml:space="preserve"> not reach timely agreement.  Instead, technical leaders </w:t>
      </w:r>
      <w:r>
        <w:rPr>
          <w:rFonts w:ascii="Arial" w:hAnsi="Arial" w:cs="Arial"/>
        </w:rPr>
        <w:t xml:space="preserve">among internet users </w:t>
      </w:r>
      <w:r w:rsidR="006C1CC7">
        <w:rPr>
          <w:rFonts w:ascii="Arial" w:hAnsi="Arial" w:cs="Arial"/>
        </w:rPr>
        <w:t>devised a system for deciding on rules of operation</w:t>
      </w:r>
      <w:r w:rsidR="00913319" w:rsidRPr="00913319">
        <w:rPr>
          <w:rFonts w:ascii="Arial" w:hAnsi="Arial" w:cs="Arial"/>
        </w:rPr>
        <w:t xml:space="preserve">.  That </w:t>
      </w:r>
      <w:r w:rsidR="00D96457">
        <w:rPr>
          <w:rFonts w:ascii="Arial" w:hAnsi="Arial" w:cs="Arial"/>
        </w:rPr>
        <w:t xml:space="preserve">nongovernmental </w:t>
      </w:r>
      <w:r w:rsidR="00913319" w:rsidRPr="00913319">
        <w:rPr>
          <w:rFonts w:ascii="Arial" w:hAnsi="Arial" w:cs="Arial"/>
        </w:rPr>
        <w:t>system</w:t>
      </w:r>
      <w:r w:rsidR="00D96457">
        <w:rPr>
          <w:rFonts w:ascii="Arial" w:hAnsi="Arial" w:cs="Arial"/>
        </w:rPr>
        <w:t xml:space="preserve">, operated by the Internet Engineering Task Force, </w:t>
      </w:r>
      <w:r w:rsidR="00913319" w:rsidRPr="00913319">
        <w:rPr>
          <w:rFonts w:ascii="Arial" w:hAnsi="Arial" w:cs="Arial"/>
        </w:rPr>
        <w:t xml:space="preserve">is marked by an open online discussion of </w:t>
      </w:r>
      <w:r w:rsidR="00B11A41">
        <w:rPr>
          <w:rFonts w:ascii="Arial" w:hAnsi="Arial" w:cs="Arial"/>
        </w:rPr>
        <w:t>newly</w:t>
      </w:r>
      <w:r w:rsidR="008C1A09">
        <w:rPr>
          <w:rFonts w:ascii="Arial" w:hAnsi="Arial" w:cs="Arial"/>
        </w:rPr>
        <w:t>-</w:t>
      </w:r>
      <w:r w:rsidR="00913319" w:rsidRPr="00913319">
        <w:rPr>
          <w:rFonts w:ascii="Arial" w:hAnsi="Arial" w:cs="Arial"/>
        </w:rPr>
        <w:t>proposed standards, and the use of “rough consensus</w:t>
      </w:r>
      <w:r w:rsidR="00D96457">
        <w:rPr>
          <w:rFonts w:ascii="Arial" w:hAnsi="Arial" w:cs="Arial"/>
        </w:rPr>
        <w:t>,</w:t>
      </w:r>
      <w:r w:rsidR="00913319" w:rsidRPr="00913319">
        <w:rPr>
          <w:rFonts w:ascii="Arial" w:hAnsi="Arial" w:cs="Arial"/>
        </w:rPr>
        <w:t xml:space="preserve">” </w:t>
      </w:r>
      <w:r w:rsidR="00D96457">
        <w:rPr>
          <w:rFonts w:ascii="Arial" w:hAnsi="Arial" w:cs="Arial"/>
        </w:rPr>
        <w:t xml:space="preserve">rather than unanimity, </w:t>
      </w:r>
      <w:r w:rsidR="00913319" w:rsidRPr="00913319">
        <w:rPr>
          <w:rFonts w:ascii="Arial" w:hAnsi="Arial" w:cs="Arial"/>
        </w:rPr>
        <w:t xml:space="preserve">to determine </w:t>
      </w:r>
      <w:r>
        <w:rPr>
          <w:rFonts w:ascii="Arial" w:hAnsi="Arial" w:cs="Arial"/>
        </w:rPr>
        <w:t xml:space="preserve">what </w:t>
      </w:r>
      <w:r w:rsidR="00913319" w:rsidRPr="00913319">
        <w:rPr>
          <w:rFonts w:ascii="Arial" w:hAnsi="Arial" w:cs="Arial"/>
        </w:rPr>
        <w:t>new and revised standards</w:t>
      </w:r>
      <w:r>
        <w:rPr>
          <w:rFonts w:ascii="Arial" w:hAnsi="Arial" w:cs="Arial"/>
        </w:rPr>
        <w:t xml:space="preserve"> are adopted</w:t>
      </w:r>
      <w:r w:rsidR="00913319" w:rsidRPr="00913319">
        <w:rPr>
          <w:rFonts w:ascii="Arial" w:hAnsi="Arial" w:cs="Arial"/>
        </w:rPr>
        <w:t>.</w:t>
      </w:r>
      <w:r w:rsidR="00B77517">
        <w:rPr>
          <w:rStyle w:val="EndnoteReference"/>
          <w:rFonts w:ascii="Arial" w:hAnsi="Arial" w:cs="Arial"/>
        </w:rPr>
        <w:endnoteReference w:id="2"/>
      </w:r>
      <w:r w:rsidR="00D96457">
        <w:rPr>
          <w:rFonts w:ascii="Arial" w:hAnsi="Arial" w:cs="Arial"/>
        </w:rPr>
        <w:t xml:space="preserve">  </w:t>
      </w:r>
      <w:r w:rsidR="00B77517">
        <w:rPr>
          <w:rFonts w:ascii="Arial" w:hAnsi="Arial" w:cs="Arial"/>
        </w:rPr>
        <w:t>By the</w:t>
      </w:r>
      <w:r>
        <w:rPr>
          <w:rFonts w:ascii="Arial" w:hAnsi="Arial" w:cs="Arial"/>
        </w:rPr>
        <w:t xml:space="preserve"> time a new standard is approved</w:t>
      </w:r>
      <w:r w:rsidR="00B77517">
        <w:rPr>
          <w:rFonts w:ascii="Arial" w:hAnsi="Arial" w:cs="Arial"/>
        </w:rPr>
        <w:t>,</w:t>
      </w:r>
      <w:r>
        <w:rPr>
          <w:rFonts w:ascii="Arial" w:hAnsi="Arial" w:cs="Arial"/>
        </w:rPr>
        <w:t xml:space="preserve"> it has normally been user-</w:t>
      </w:r>
      <w:r w:rsidR="006C1CC7">
        <w:rPr>
          <w:rFonts w:ascii="Arial" w:hAnsi="Arial" w:cs="Arial"/>
        </w:rPr>
        <w:t xml:space="preserve">tested </w:t>
      </w:r>
      <w:r>
        <w:rPr>
          <w:rFonts w:ascii="Arial" w:hAnsi="Arial" w:cs="Arial"/>
        </w:rPr>
        <w:t>thoroughly by IETF specialists</w:t>
      </w:r>
      <w:r w:rsidR="00B77517">
        <w:rPr>
          <w:rFonts w:ascii="Arial" w:hAnsi="Arial" w:cs="Arial"/>
        </w:rPr>
        <w:t>.</w:t>
      </w:r>
    </w:p>
    <w:p w:rsidR="00913319" w:rsidRDefault="00D96457" w:rsidP="00913319">
      <w:pPr>
        <w:jc w:val="both"/>
        <w:rPr>
          <w:rFonts w:ascii="Arial" w:hAnsi="Arial" w:cs="Arial"/>
        </w:rPr>
      </w:pPr>
      <w:r>
        <w:rPr>
          <w:rFonts w:ascii="Arial" w:hAnsi="Arial" w:cs="Arial"/>
        </w:rPr>
        <w:t xml:space="preserve">With this setup, interconnectivity </w:t>
      </w:r>
      <w:r w:rsidR="00307D50">
        <w:rPr>
          <w:rFonts w:ascii="Arial" w:hAnsi="Arial" w:cs="Arial"/>
        </w:rPr>
        <w:t>and growth have</w:t>
      </w:r>
      <w:r>
        <w:rPr>
          <w:rFonts w:ascii="Arial" w:hAnsi="Arial" w:cs="Arial"/>
        </w:rPr>
        <w:t xml:space="preserve"> continued in the face of continual and major technology advances</w:t>
      </w:r>
      <w:r w:rsidR="00B77517">
        <w:rPr>
          <w:rFonts w:ascii="Arial" w:hAnsi="Arial" w:cs="Arial"/>
        </w:rPr>
        <w:t>.</w:t>
      </w:r>
      <w:r>
        <w:rPr>
          <w:rFonts w:ascii="Arial" w:hAnsi="Arial" w:cs="Arial"/>
        </w:rPr>
        <w:t xml:space="preserve"> </w:t>
      </w:r>
      <w:r w:rsidR="00913319" w:rsidRPr="00913319">
        <w:rPr>
          <w:rFonts w:ascii="Arial" w:hAnsi="Arial" w:cs="Arial"/>
        </w:rPr>
        <w:t xml:space="preserve"> </w:t>
      </w:r>
    </w:p>
    <w:p w:rsidR="00913319" w:rsidRPr="00DD1513" w:rsidRDefault="00913319" w:rsidP="00913319">
      <w:pPr>
        <w:jc w:val="both"/>
        <w:rPr>
          <w:rFonts w:ascii="Arial" w:hAnsi="Arial" w:cs="Arial"/>
          <w:u w:val="single"/>
        </w:rPr>
      </w:pPr>
    </w:p>
    <w:p w:rsidR="00A6540A" w:rsidRPr="00DD1513" w:rsidRDefault="00A6540A" w:rsidP="00A6540A">
      <w:pPr>
        <w:jc w:val="both"/>
        <w:rPr>
          <w:rFonts w:ascii="Arial" w:hAnsi="Arial" w:cs="Arial"/>
          <w:i/>
          <w:u w:val="single"/>
        </w:rPr>
      </w:pPr>
      <w:r w:rsidRPr="00DD1513">
        <w:rPr>
          <w:rFonts w:ascii="Arial" w:hAnsi="Arial" w:cs="Arial"/>
          <w:i/>
          <w:u w:val="single"/>
        </w:rPr>
        <w:t>[] Guidelines for Cardiac Surgery</w:t>
      </w:r>
    </w:p>
    <w:p w:rsidR="00A6540A" w:rsidRPr="00A6540A" w:rsidRDefault="00A6540A" w:rsidP="00A6540A">
      <w:pPr>
        <w:jc w:val="both"/>
        <w:rPr>
          <w:rFonts w:ascii="Arial" w:hAnsi="Arial" w:cs="Arial"/>
        </w:rPr>
      </w:pPr>
      <w:r w:rsidRPr="00A6540A">
        <w:rPr>
          <w:rFonts w:ascii="Arial" w:hAnsi="Arial" w:cs="Arial"/>
        </w:rPr>
        <w:t>The first US science-based guidelines for cardiac health were written in th</w:t>
      </w:r>
      <w:r w:rsidR="00A95BAB">
        <w:rPr>
          <w:rFonts w:ascii="Arial" w:hAnsi="Arial" w:cs="Arial"/>
        </w:rPr>
        <w:t>e early 1980s.  Since then, the guidelines</w:t>
      </w:r>
      <w:r w:rsidRPr="00A6540A">
        <w:rPr>
          <w:rFonts w:ascii="Arial" w:hAnsi="Arial" w:cs="Arial"/>
        </w:rPr>
        <w:t xml:space="preserve"> have been repeatedly revised to reflect the latest science, and</w:t>
      </w:r>
      <w:r w:rsidR="00A95BAB">
        <w:rPr>
          <w:rFonts w:ascii="Arial" w:hAnsi="Arial" w:cs="Arial"/>
        </w:rPr>
        <w:t xml:space="preserve"> the </w:t>
      </w:r>
      <w:r w:rsidR="00953017">
        <w:rPr>
          <w:rFonts w:ascii="Arial" w:hAnsi="Arial" w:cs="Arial"/>
        </w:rPr>
        <w:t>la</w:t>
      </w:r>
      <w:r w:rsidR="00A95BAB">
        <w:rPr>
          <w:rFonts w:ascii="Arial" w:hAnsi="Arial" w:cs="Arial"/>
        </w:rPr>
        <w:t>t</w:t>
      </w:r>
      <w:r w:rsidR="00953017">
        <w:rPr>
          <w:rFonts w:ascii="Arial" w:hAnsi="Arial" w:cs="Arial"/>
        </w:rPr>
        <w:t xml:space="preserve">ter </w:t>
      </w:r>
      <w:proofErr w:type="gramStart"/>
      <w:r w:rsidR="00953017">
        <w:rPr>
          <w:rFonts w:ascii="Arial" w:hAnsi="Arial" w:cs="Arial"/>
        </w:rPr>
        <w:t>versions</w:t>
      </w:r>
      <w:proofErr w:type="gramEnd"/>
      <w:r w:rsidR="00953017">
        <w:rPr>
          <w:rFonts w:ascii="Arial" w:hAnsi="Arial" w:cs="Arial"/>
        </w:rPr>
        <w:t xml:space="preserve"> </w:t>
      </w:r>
      <w:r w:rsidRPr="00A6540A">
        <w:rPr>
          <w:rFonts w:ascii="Arial" w:hAnsi="Arial" w:cs="Arial"/>
        </w:rPr>
        <w:t>show not</w:t>
      </w:r>
      <w:r w:rsidR="00953017">
        <w:rPr>
          <w:rFonts w:ascii="Arial" w:hAnsi="Arial" w:cs="Arial"/>
        </w:rPr>
        <w:t>able migration from the early</w:t>
      </w:r>
      <w:r w:rsidRPr="00A6540A">
        <w:rPr>
          <w:rFonts w:ascii="Arial" w:hAnsi="Arial" w:cs="Arial"/>
        </w:rPr>
        <w:t xml:space="preserve"> versions. Survival rates and life expectancy continue to rise toward that of populations that have not experienced intervention </w:t>
      </w:r>
      <w:r w:rsidR="00A95BAB">
        <w:rPr>
          <w:rFonts w:ascii="Arial" w:hAnsi="Arial" w:cs="Arial"/>
        </w:rPr>
        <w:t>to alleviate cardiac disease</w:t>
      </w:r>
      <w:r w:rsidRPr="00A6540A">
        <w:rPr>
          <w:rFonts w:ascii="Arial" w:hAnsi="Arial" w:cs="Arial"/>
        </w:rPr>
        <w:t xml:space="preserve">.  </w:t>
      </w:r>
    </w:p>
    <w:p w:rsidR="006F53C2" w:rsidRDefault="00A6540A" w:rsidP="00A6540A">
      <w:pPr>
        <w:jc w:val="both"/>
        <w:rPr>
          <w:rFonts w:ascii="Arial" w:hAnsi="Arial" w:cs="Arial"/>
        </w:rPr>
      </w:pPr>
      <w:r w:rsidRPr="00A6540A">
        <w:rPr>
          <w:rFonts w:ascii="Arial" w:hAnsi="Arial" w:cs="Arial"/>
        </w:rPr>
        <w:t>The American College of Cardiology and the American Heart Association (ACC-AHA)</w:t>
      </w:r>
      <w:r w:rsidR="00A95BAB">
        <w:rPr>
          <w:rFonts w:ascii="Arial" w:hAnsi="Arial" w:cs="Arial"/>
        </w:rPr>
        <w:t xml:space="preserve">, two private groups of cardiac specialists, </w:t>
      </w:r>
      <w:r w:rsidRPr="00A6540A">
        <w:rPr>
          <w:rFonts w:ascii="Arial" w:hAnsi="Arial" w:cs="Arial"/>
        </w:rPr>
        <w:t>work jointly</w:t>
      </w:r>
      <w:r w:rsidR="008A04C8">
        <w:rPr>
          <w:rFonts w:ascii="Arial" w:hAnsi="Arial" w:cs="Arial"/>
        </w:rPr>
        <w:t xml:space="preserve"> to provide this routine self-correction</w:t>
      </w:r>
      <w:r w:rsidRPr="00A6540A">
        <w:rPr>
          <w:rFonts w:ascii="Arial" w:hAnsi="Arial" w:cs="Arial"/>
        </w:rPr>
        <w:t xml:space="preserve"> capabi</w:t>
      </w:r>
      <w:r w:rsidR="006F53C2">
        <w:rPr>
          <w:rFonts w:ascii="Arial" w:hAnsi="Arial" w:cs="Arial"/>
        </w:rPr>
        <w:t>lity.  For each guideline that is reassessed</w:t>
      </w:r>
      <w:r w:rsidRPr="00A6540A">
        <w:rPr>
          <w:rFonts w:ascii="Arial" w:hAnsi="Arial" w:cs="Arial"/>
        </w:rPr>
        <w:t>, the first step is a thorough review of recent outcome studies</w:t>
      </w:r>
      <w:r w:rsidR="00A45FF2">
        <w:rPr>
          <w:rFonts w:ascii="Arial" w:hAnsi="Arial" w:cs="Arial"/>
        </w:rPr>
        <w:t>, including all known</w:t>
      </w:r>
      <w:r w:rsidRPr="00A6540A">
        <w:rPr>
          <w:rFonts w:ascii="Arial" w:hAnsi="Arial" w:cs="Arial"/>
        </w:rPr>
        <w:t xml:space="preserve"> </w:t>
      </w:r>
      <w:r w:rsidR="00A45FF2">
        <w:rPr>
          <w:rFonts w:ascii="Arial" w:hAnsi="Arial" w:cs="Arial"/>
        </w:rPr>
        <w:t xml:space="preserve">random clinical trials </w:t>
      </w:r>
      <w:r w:rsidR="007354F6">
        <w:rPr>
          <w:rFonts w:ascii="Arial" w:hAnsi="Arial" w:cs="Arial"/>
        </w:rPr>
        <w:t xml:space="preserve">(RCTs) </w:t>
      </w:r>
      <w:r w:rsidRPr="00A6540A">
        <w:rPr>
          <w:rFonts w:ascii="Arial" w:hAnsi="Arial" w:cs="Arial"/>
        </w:rPr>
        <w:t>and meta-data reports</w:t>
      </w:r>
      <w:r w:rsidR="00A45FF2">
        <w:rPr>
          <w:rFonts w:ascii="Arial" w:hAnsi="Arial" w:cs="Arial"/>
        </w:rPr>
        <w:t xml:space="preserve"> for multiple </w:t>
      </w:r>
      <w:r w:rsidR="007354F6">
        <w:rPr>
          <w:rFonts w:ascii="Arial" w:hAnsi="Arial" w:cs="Arial"/>
        </w:rPr>
        <w:lastRenderedPageBreak/>
        <w:t xml:space="preserve">RCT </w:t>
      </w:r>
      <w:r w:rsidR="00A45FF2">
        <w:rPr>
          <w:rFonts w:ascii="Arial" w:hAnsi="Arial" w:cs="Arial"/>
        </w:rPr>
        <w:t>studies</w:t>
      </w:r>
      <w:r w:rsidRPr="00A6540A">
        <w:rPr>
          <w:rFonts w:ascii="Arial" w:hAnsi="Arial" w:cs="Arial"/>
        </w:rPr>
        <w:t>.</w:t>
      </w:r>
      <w:r w:rsidR="006F53C2">
        <w:rPr>
          <w:rFonts w:ascii="Arial" w:hAnsi="Arial" w:cs="Arial"/>
        </w:rPr>
        <w:t xml:space="preserve">  Unlike many knowledge assessments, these guidelines do not restrict themselves to simple “do’s and don’ts;” instead, they address all </w:t>
      </w:r>
      <w:r w:rsidR="00A45FF2">
        <w:rPr>
          <w:rFonts w:ascii="Arial" w:hAnsi="Arial" w:cs="Arial"/>
        </w:rPr>
        <w:t xml:space="preserve">of </w:t>
      </w:r>
      <w:r w:rsidR="006F53C2">
        <w:rPr>
          <w:rFonts w:ascii="Arial" w:hAnsi="Arial" w:cs="Arial"/>
        </w:rPr>
        <w:t xml:space="preserve">the major </w:t>
      </w:r>
      <w:r w:rsidR="00953017">
        <w:rPr>
          <w:rFonts w:ascii="Arial" w:hAnsi="Arial" w:cs="Arial"/>
        </w:rPr>
        <w:t xml:space="preserve">clinical </w:t>
      </w:r>
      <w:r w:rsidR="006F53C2">
        <w:rPr>
          <w:rFonts w:ascii="Arial" w:hAnsi="Arial" w:cs="Arial"/>
        </w:rPr>
        <w:t xml:space="preserve">decisions that have to be made, and where the </w:t>
      </w:r>
      <w:r w:rsidR="00953017">
        <w:rPr>
          <w:rFonts w:ascii="Arial" w:hAnsi="Arial" w:cs="Arial"/>
        </w:rPr>
        <w:t xml:space="preserve">available </w:t>
      </w:r>
      <w:r w:rsidR="006F53C2">
        <w:rPr>
          <w:rFonts w:ascii="Arial" w:hAnsi="Arial" w:cs="Arial"/>
        </w:rPr>
        <w:t>research in less than conclusive, that fact is stated</w:t>
      </w:r>
      <w:r w:rsidR="00953017">
        <w:rPr>
          <w:rFonts w:ascii="Arial" w:hAnsi="Arial" w:cs="Arial"/>
        </w:rPr>
        <w:t>, thus throwing light on continuing</w:t>
      </w:r>
      <w:r w:rsidR="00A45FF2">
        <w:rPr>
          <w:rFonts w:ascii="Arial" w:hAnsi="Arial" w:cs="Arial"/>
        </w:rPr>
        <w:t xml:space="preserve"> research gaps</w:t>
      </w:r>
      <w:r w:rsidR="006F53C2">
        <w:rPr>
          <w:rFonts w:ascii="Arial" w:hAnsi="Arial" w:cs="Arial"/>
        </w:rPr>
        <w:t xml:space="preserve">.  </w:t>
      </w:r>
      <w:r w:rsidRPr="00A6540A">
        <w:rPr>
          <w:rFonts w:ascii="Arial" w:hAnsi="Arial" w:cs="Arial"/>
        </w:rPr>
        <w:t xml:space="preserve">  </w:t>
      </w:r>
    </w:p>
    <w:p w:rsidR="00A6540A" w:rsidRDefault="00A6540A" w:rsidP="00A6540A">
      <w:pPr>
        <w:jc w:val="both"/>
        <w:rPr>
          <w:rFonts w:ascii="Arial" w:hAnsi="Arial" w:cs="Arial"/>
        </w:rPr>
      </w:pPr>
      <w:r w:rsidRPr="00A6540A">
        <w:rPr>
          <w:rFonts w:ascii="Arial" w:hAnsi="Arial" w:cs="Arial"/>
        </w:rPr>
        <w:t>The ACC-AHA guidelines process reflects the move toward evidence-based m</w:t>
      </w:r>
      <w:r w:rsidR="00A45FF2">
        <w:rPr>
          <w:rFonts w:ascii="Arial" w:hAnsi="Arial" w:cs="Arial"/>
        </w:rPr>
        <w:t>edicine (EBM) in US health care.  F</w:t>
      </w:r>
      <w:r w:rsidRPr="00A6540A">
        <w:rPr>
          <w:rFonts w:ascii="Arial" w:hAnsi="Arial" w:cs="Arial"/>
        </w:rPr>
        <w:t xml:space="preserve">ormal study results are ranked higher than </w:t>
      </w:r>
      <w:r w:rsidR="00A45FF2">
        <w:rPr>
          <w:rFonts w:ascii="Arial" w:hAnsi="Arial" w:cs="Arial"/>
        </w:rPr>
        <w:t xml:space="preserve">subjective </w:t>
      </w:r>
      <w:r w:rsidRPr="00A6540A">
        <w:rPr>
          <w:rFonts w:ascii="Arial" w:hAnsi="Arial" w:cs="Arial"/>
        </w:rPr>
        <w:t xml:space="preserve">expert opinion in assigning the strength of evidence </w:t>
      </w:r>
      <w:r w:rsidR="00A45FF2">
        <w:rPr>
          <w:rFonts w:ascii="Arial" w:hAnsi="Arial" w:cs="Arial"/>
        </w:rPr>
        <w:t xml:space="preserve">ratings </w:t>
      </w:r>
      <w:r w:rsidRPr="00A6540A">
        <w:rPr>
          <w:rFonts w:ascii="Arial" w:hAnsi="Arial" w:cs="Arial"/>
        </w:rPr>
        <w:t xml:space="preserve">behind a particular </w:t>
      </w:r>
      <w:r w:rsidR="00A45FF2">
        <w:rPr>
          <w:rFonts w:ascii="Arial" w:hAnsi="Arial" w:cs="Arial"/>
        </w:rPr>
        <w:t xml:space="preserve">action </w:t>
      </w:r>
      <w:r w:rsidRPr="00A6540A">
        <w:rPr>
          <w:rFonts w:ascii="Arial" w:hAnsi="Arial" w:cs="Arial"/>
        </w:rPr>
        <w:t>recommendation.</w:t>
      </w:r>
      <w:r w:rsidR="00091181">
        <w:rPr>
          <w:rFonts w:ascii="Arial" w:hAnsi="Arial" w:cs="Arial"/>
        </w:rPr>
        <w:t xml:space="preserve">  The </w:t>
      </w:r>
      <w:r w:rsidR="00A45FF2">
        <w:rPr>
          <w:rFonts w:ascii="Arial" w:hAnsi="Arial" w:cs="Arial"/>
        </w:rPr>
        <w:t xml:space="preserve">nongovernmental </w:t>
      </w:r>
      <w:r w:rsidR="00091181">
        <w:rPr>
          <w:rFonts w:ascii="Arial" w:hAnsi="Arial" w:cs="Arial"/>
        </w:rPr>
        <w:t>Institute of Medicine (IOM) has produced a series of i</w:t>
      </w:r>
      <w:r w:rsidR="00A45FF2">
        <w:rPr>
          <w:rFonts w:ascii="Arial" w:hAnsi="Arial" w:cs="Arial"/>
        </w:rPr>
        <w:t xml:space="preserve">nfluential reports on guideline-writing procedures </w:t>
      </w:r>
      <w:r w:rsidR="00091181">
        <w:rPr>
          <w:rFonts w:ascii="Arial" w:hAnsi="Arial" w:cs="Arial"/>
        </w:rPr>
        <w:t xml:space="preserve">across the whole field of </w:t>
      </w:r>
      <w:r w:rsidR="00A45FF2">
        <w:rPr>
          <w:rFonts w:ascii="Arial" w:hAnsi="Arial" w:cs="Arial"/>
        </w:rPr>
        <w:t xml:space="preserve">U.S. </w:t>
      </w:r>
      <w:r w:rsidR="00091181">
        <w:rPr>
          <w:rFonts w:ascii="Arial" w:hAnsi="Arial" w:cs="Arial"/>
        </w:rPr>
        <w:t>health care.</w:t>
      </w:r>
    </w:p>
    <w:p w:rsidR="00A6540A" w:rsidRPr="00913319" w:rsidRDefault="00A6540A" w:rsidP="00A6540A">
      <w:pPr>
        <w:jc w:val="both"/>
        <w:rPr>
          <w:rFonts w:ascii="Arial" w:hAnsi="Arial" w:cs="Arial"/>
        </w:rPr>
      </w:pPr>
    </w:p>
    <w:p w:rsidR="00913319" w:rsidRPr="00913319" w:rsidRDefault="00913319" w:rsidP="00913319">
      <w:pPr>
        <w:jc w:val="both"/>
        <w:rPr>
          <w:rFonts w:ascii="Arial" w:hAnsi="Arial" w:cs="Arial"/>
          <w:i/>
          <w:u w:val="single"/>
        </w:rPr>
      </w:pPr>
      <w:r w:rsidRPr="00913319">
        <w:rPr>
          <w:rFonts w:ascii="Arial" w:hAnsi="Arial" w:cs="Arial"/>
          <w:i/>
          <w:u w:val="single"/>
        </w:rPr>
        <w:t>[] Nationa</w:t>
      </w:r>
      <w:r w:rsidR="00A45FF2">
        <w:rPr>
          <w:rFonts w:ascii="Arial" w:hAnsi="Arial" w:cs="Arial"/>
          <w:i/>
          <w:u w:val="single"/>
        </w:rPr>
        <w:t xml:space="preserve">l Transportation Safety Board (NTSB) and </w:t>
      </w:r>
      <w:r>
        <w:rPr>
          <w:rFonts w:ascii="Arial" w:hAnsi="Arial" w:cs="Arial"/>
          <w:i/>
          <w:u w:val="single"/>
        </w:rPr>
        <w:t xml:space="preserve">US </w:t>
      </w:r>
      <w:r w:rsidRPr="00913319">
        <w:rPr>
          <w:rFonts w:ascii="Arial" w:hAnsi="Arial" w:cs="Arial"/>
          <w:i/>
          <w:u w:val="single"/>
        </w:rPr>
        <w:t>Air Carrier Safety</w:t>
      </w:r>
    </w:p>
    <w:p w:rsidR="00913319" w:rsidRPr="00913319" w:rsidRDefault="00A45FF2" w:rsidP="00913319">
      <w:pPr>
        <w:jc w:val="both"/>
        <w:rPr>
          <w:rFonts w:ascii="Arial" w:hAnsi="Arial" w:cs="Arial"/>
        </w:rPr>
      </w:pPr>
      <w:r>
        <w:rPr>
          <w:rFonts w:ascii="Arial" w:hAnsi="Arial" w:cs="Arial"/>
        </w:rPr>
        <w:t xml:space="preserve">U.S. government’s </w:t>
      </w:r>
      <w:r w:rsidR="00913319" w:rsidRPr="00913319">
        <w:rPr>
          <w:rFonts w:ascii="Arial" w:hAnsi="Arial" w:cs="Arial"/>
        </w:rPr>
        <w:t>NTSB is often cited as a model of integrity and</w:t>
      </w:r>
      <w:r>
        <w:rPr>
          <w:rFonts w:ascii="Arial" w:hAnsi="Arial" w:cs="Arial"/>
        </w:rPr>
        <w:t xml:space="preserve"> technical</w:t>
      </w:r>
      <w:r w:rsidR="00913319" w:rsidRPr="00913319">
        <w:rPr>
          <w:rFonts w:ascii="Arial" w:hAnsi="Arial" w:cs="Arial"/>
        </w:rPr>
        <w:t xml:space="preserve"> competence; it conducts intense (and</w:t>
      </w:r>
      <w:r w:rsidR="001258E5">
        <w:rPr>
          <w:rFonts w:ascii="Arial" w:hAnsi="Arial" w:cs="Arial"/>
        </w:rPr>
        <w:t xml:space="preserve"> strictly </w:t>
      </w:r>
      <w:r w:rsidR="00913319" w:rsidRPr="00913319">
        <w:rPr>
          <w:rFonts w:ascii="Arial" w:hAnsi="Arial" w:cs="Arial"/>
        </w:rPr>
        <w:t>independent</w:t>
      </w:r>
      <w:r w:rsidR="001258E5">
        <w:rPr>
          <w:rFonts w:ascii="Arial" w:hAnsi="Arial" w:cs="Arial"/>
        </w:rPr>
        <w:t xml:space="preserve"> of U.S. regulatory programs</w:t>
      </w:r>
      <w:r w:rsidR="00913319" w:rsidRPr="00913319">
        <w:rPr>
          <w:rFonts w:ascii="Arial" w:hAnsi="Arial" w:cs="Arial"/>
        </w:rPr>
        <w:t xml:space="preserve">) studies of </w:t>
      </w:r>
      <w:r w:rsidR="006C1CC7">
        <w:rPr>
          <w:rFonts w:ascii="Arial" w:hAnsi="Arial" w:cs="Arial"/>
        </w:rPr>
        <w:t xml:space="preserve">the causes of actual </w:t>
      </w:r>
      <w:r w:rsidR="00913319" w:rsidRPr="00913319">
        <w:rPr>
          <w:rFonts w:ascii="Arial" w:hAnsi="Arial" w:cs="Arial"/>
        </w:rPr>
        <w:t>airliner crashes in order to help assure that their causes are eliminated.</w:t>
      </w:r>
      <w:r w:rsidR="006C1CC7">
        <w:rPr>
          <w:rFonts w:ascii="Arial" w:hAnsi="Arial" w:cs="Arial"/>
        </w:rPr>
        <w:t xml:space="preserve">  </w:t>
      </w:r>
    </w:p>
    <w:p w:rsidR="00913319" w:rsidRPr="00913319" w:rsidRDefault="00913319" w:rsidP="00913319">
      <w:pPr>
        <w:jc w:val="both"/>
        <w:rPr>
          <w:rFonts w:ascii="Arial" w:hAnsi="Arial" w:cs="Arial"/>
        </w:rPr>
      </w:pPr>
      <w:r w:rsidRPr="00913319">
        <w:rPr>
          <w:rFonts w:ascii="Arial" w:hAnsi="Arial" w:cs="Arial"/>
        </w:rPr>
        <w:t xml:space="preserve">With the expansion of commercial air travel, it is estimated that if </w:t>
      </w:r>
      <w:r w:rsidR="006C1CC7">
        <w:rPr>
          <w:rFonts w:ascii="Arial" w:hAnsi="Arial" w:cs="Arial"/>
        </w:rPr>
        <w:t xml:space="preserve">1960’s levels of </w:t>
      </w:r>
      <w:r w:rsidR="00006A08">
        <w:rPr>
          <w:rFonts w:ascii="Arial" w:hAnsi="Arial" w:cs="Arial"/>
        </w:rPr>
        <w:t>risk</w:t>
      </w:r>
      <w:r w:rsidRPr="00913319">
        <w:rPr>
          <w:rFonts w:ascii="Arial" w:hAnsi="Arial" w:cs="Arial"/>
        </w:rPr>
        <w:t xml:space="preserve"> had not improved, we would see an airliner crash about every other day; instead, in recent years the US has seen no major fatal crashes at all</w:t>
      </w:r>
      <w:r w:rsidR="006B32D0">
        <w:rPr>
          <w:rStyle w:val="EndnoteReference"/>
          <w:rFonts w:ascii="Arial" w:hAnsi="Arial" w:cs="Arial"/>
        </w:rPr>
        <w:endnoteReference w:id="3"/>
      </w:r>
      <w:r w:rsidRPr="00913319">
        <w:rPr>
          <w:rFonts w:ascii="Arial" w:hAnsi="Arial" w:cs="Arial"/>
        </w:rPr>
        <w:t xml:space="preserve">. </w:t>
      </w:r>
      <w:r w:rsidR="006C1CC7">
        <w:rPr>
          <w:rFonts w:ascii="Arial" w:hAnsi="Arial" w:cs="Arial"/>
        </w:rPr>
        <w:t>One unique practice in the NTSB</w:t>
      </w:r>
      <w:r w:rsidRPr="00913319">
        <w:rPr>
          <w:rFonts w:ascii="Arial" w:hAnsi="Arial" w:cs="Arial"/>
        </w:rPr>
        <w:t xml:space="preserve"> </w:t>
      </w:r>
      <w:r w:rsidR="006C1CC7">
        <w:rPr>
          <w:rFonts w:ascii="Arial" w:hAnsi="Arial" w:cs="Arial"/>
        </w:rPr>
        <w:t>program is that the Agency tracks</w:t>
      </w:r>
      <w:r w:rsidR="006B32D0">
        <w:rPr>
          <w:rFonts w:ascii="Arial" w:hAnsi="Arial" w:cs="Arial"/>
        </w:rPr>
        <w:t xml:space="preserve"> the proportion of its recommendations that are actually implemented.  Over 80% </w:t>
      </w:r>
      <w:r w:rsidR="001258E5">
        <w:rPr>
          <w:rFonts w:ascii="Arial" w:hAnsi="Arial" w:cs="Arial"/>
        </w:rPr>
        <w:t xml:space="preserve">of them found to be </w:t>
      </w:r>
      <w:r w:rsidR="006B32D0">
        <w:rPr>
          <w:rFonts w:ascii="Arial" w:hAnsi="Arial" w:cs="Arial"/>
        </w:rPr>
        <w:t>adopted.</w:t>
      </w:r>
      <w:r w:rsidR="006B32D0">
        <w:rPr>
          <w:rStyle w:val="EndnoteReference"/>
          <w:rFonts w:ascii="Arial" w:hAnsi="Arial" w:cs="Arial"/>
        </w:rPr>
        <w:endnoteReference w:id="4"/>
      </w:r>
      <w:r w:rsidR="006B32D0">
        <w:rPr>
          <w:rFonts w:ascii="Arial" w:hAnsi="Arial" w:cs="Arial"/>
        </w:rPr>
        <w:t xml:space="preserve"> </w:t>
      </w:r>
      <w:r w:rsidR="00556496">
        <w:rPr>
          <w:rFonts w:ascii="Arial" w:hAnsi="Arial" w:cs="Arial"/>
        </w:rPr>
        <w:t>Also unique to the NTSB</w:t>
      </w:r>
      <w:r w:rsidR="00953017">
        <w:rPr>
          <w:rFonts w:ascii="Arial" w:hAnsi="Arial" w:cs="Arial"/>
        </w:rPr>
        <w:t xml:space="preserve"> program is the practice of publishing</w:t>
      </w:r>
      <w:r w:rsidR="00556496">
        <w:rPr>
          <w:rFonts w:ascii="Arial" w:hAnsi="Arial" w:cs="Arial"/>
        </w:rPr>
        <w:t xml:space="preserve"> a “Most Wanted”</w:t>
      </w:r>
      <w:r w:rsidR="00EF455E">
        <w:rPr>
          <w:rFonts w:ascii="Arial" w:hAnsi="Arial" w:cs="Arial"/>
        </w:rPr>
        <w:t xml:space="preserve"> </w:t>
      </w:r>
      <w:r w:rsidR="00556496">
        <w:rPr>
          <w:rFonts w:ascii="Arial" w:hAnsi="Arial" w:cs="Arial"/>
        </w:rPr>
        <w:t xml:space="preserve">list of subjects for new research -- and </w:t>
      </w:r>
      <w:r w:rsidR="00953017">
        <w:rPr>
          <w:rFonts w:ascii="Arial" w:hAnsi="Arial" w:cs="Arial"/>
        </w:rPr>
        <w:t xml:space="preserve">for renewed </w:t>
      </w:r>
      <w:r w:rsidR="00556496">
        <w:rPr>
          <w:rFonts w:ascii="Arial" w:hAnsi="Arial" w:cs="Arial"/>
        </w:rPr>
        <w:t xml:space="preserve">consideration of </w:t>
      </w:r>
      <w:r w:rsidR="00A45FF2">
        <w:rPr>
          <w:rFonts w:ascii="Arial" w:hAnsi="Arial" w:cs="Arial"/>
        </w:rPr>
        <w:t xml:space="preserve">better </w:t>
      </w:r>
      <w:r w:rsidR="00556496">
        <w:rPr>
          <w:rFonts w:ascii="Arial" w:hAnsi="Arial" w:cs="Arial"/>
        </w:rPr>
        <w:t>safety solutions-- that NTSB finds</w:t>
      </w:r>
      <w:r w:rsidR="00A45FF2">
        <w:rPr>
          <w:rFonts w:ascii="Arial" w:hAnsi="Arial" w:cs="Arial"/>
        </w:rPr>
        <w:t xml:space="preserve"> to be </w:t>
      </w:r>
      <w:r w:rsidR="001258E5">
        <w:rPr>
          <w:rFonts w:ascii="Arial" w:hAnsi="Arial" w:cs="Arial"/>
        </w:rPr>
        <w:t xml:space="preserve">generally </w:t>
      </w:r>
      <w:r w:rsidR="00556496">
        <w:rPr>
          <w:rFonts w:ascii="Arial" w:hAnsi="Arial" w:cs="Arial"/>
        </w:rPr>
        <w:t>underappreciated.</w:t>
      </w:r>
      <w:r w:rsidR="00556496">
        <w:rPr>
          <w:rStyle w:val="EndnoteReference"/>
          <w:rFonts w:ascii="Arial" w:hAnsi="Arial" w:cs="Arial"/>
        </w:rPr>
        <w:endnoteReference w:id="5"/>
      </w:r>
      <w:r w:rsidR="006B32D0">
        <w:rPr>
          <w:rFonts w:ascii="Arial" w:hAnsi="Arial" w:cs="Arial"/>
        </w:rPr>
        <w:t xml:space="preserve"> </w:t>
      </w:r>
      <w:r w:rsidRPr="00913319">
        <w:rPr>
          <w:rFonts w:ascii="Arial" w:hAnsi="Arial" w:cs="Arial"/>
        </w:rPr>
        <w:t xml:space="preserve"> </w:t>
      </w:r>
      <w:r w:rsidR="00556496">
        <w:rPr>
          <w:rFonts w:ascii="Arial" w:hAnsi="Arial" w:cs="Arial"/>
        </w:rPr>
        <w:t>One recent example is the problem of school-bus safety</w:t>
      </w:r>
      <w:r w:rsidR="00A45FF2">
        <w:rPr>
          <w:rFonts w:ascii="Arial" w:hAnsi="Arial" w:cs="Arial"/>
        </w:rPr>
        <w:t xml:space="preserve">, symbolizing NTSB’s credibility </w:t>
      </w:r>
      <w:r w:rsidR="001258E5">
        <w:rPr>
          <w:rFonts w:ascii="Arial" w:hAnsi="Arial" w:cs="Arial"/>
        </w:rPr>
        <w:t xml:space="preserve">even </w:t>
      </w:r>
      <w:r w:rsidR="00A45FF2">
        <w:rPr>
          <w:rFonts w:ascii="Arial" w:hAnsi="Arial" w:cs="Arial"/>
        </w:rPr>
        <w:t xml:space="preserve">beyond the boundaries of its </w:t>
      </w:r>
      <w:r w:rsidR="001258E5">
        <w:rPr>
          <w:rFonts w:ascii="Arial" w:hAnsi="Arial" w:cs="Arial"/>
        </w:rPr>
        <w:t xml:space="preserve">original </w:t>
      </w:r>
      <w:r w:rsidR="00A45FF2">
        <w:rPr>
          <w:rFonts w:ascii="Arial" w:hAnsi="Arial" w:cs="Arial"/>
        </w:rPr>
        <w:t>core mission</w:t>
      </w:r>
      <w:r w:rsidR="00556496">
        <w:rPr>
          <w:rFonts w:ascii="Arial" w:hAnsi="Arial" w:cs="Arial"/>
        </w:rPr>
        <w:t>.</w:t>
      </w:r>
    </w:p>
    <w:p w:rsidR="00913319" w:rsidRPr="00913319" w:rsidRDefault="00913319" w:rsidP="00913319">
      <w:pPr>
        <w:jc w:val="both"/>
        <w:rPr>
          <w:rFonts w:ascii="Arial" w:hAnsi="Arial" w:cs="Arial"/>
        </w:rPr>
      </w:pPr>
    </w:p>
    <w:p w:rsidR="00B20B2E" w:rsidRPr="00B20B2E" w:rsidRDefault="00B20B2E" w:rsidP="00B20B2E">
      <w:pPr>
        <w:jc w:val="both"/>
        <w:rPr>
          <w:rFonts w:ascii="Arial" w:hAnsi="Arial" w:cs="Arial"/>
          <w:i/>
          <w:u w:val="single"/>
        </w:rPr>
      </w:pPr>
      <w:r w:rsidRPr="00B20B2E">
        <w:rPr>
          <w:rFonts w:ascii="Arial" w:hAnsi="Arial" w:cs="Arial"/>
          <w:i/>
          <w:u w:val="single"/>
        </w:rPr>
        <w:t>[] EPA Regulation of Airborne Particulate Matter (PM)</w:t>
      </w:r>
    </w:p>
    <w:p w:rsidR="00B20B2E" w:rsidRPr="00DD1513" w:rsidRDefault="00B20B2E" w:rsidP="00B20B2E">
      <w:pPr>
        <w:jc w:val="both"/>
        <w:rPr>
          <w:rFonts w:ascii="Arial" w:hAnsi="Arial" w:cs="Arial"/>
        </w:rPr>
      </w:pPr>
      <w:r w:rsidRPr="00DD1513">
        <w:rPr>
          <w:rFonts w:ascii="Arial" w:hAnsi="Arial" w:cs="Arial"/>
        </w:rPr>
        <w:t>Under the Clean Air Act</w:t>
      </w:r>
      <w:r w:rsidR="00A45FF2">
        <w:rPr>
          <w:rFonts w:ascii="Arial" w:hAnsi="Arial" w:cs="Arial"/>
        </w:rPr>
        <w:t>,</w:t>
      </w:r>
      <w:r w:rsidRPr="00DD1513">
        <w:rPr>
          <w:rFonts w:ascii="Arial" w:hAnsi="Arial" w:cs="Arial"/>
        </w:rPr>
        <w:t xml:space="preserve"> the Environmental Protection Agency (EPA) is tasked to control risk from the emission o</w:t>
      </w:r>
      <w:r w:rsidR="00953017">
        <w:rPr>
          <w:rFonts w:ascii="Arial" w:hAnsi="Arial" w:cs="Arial"/>
        </w:rPr>
        <w:t>f particulate matter (PM)</w:t>
      </w:r>
      <w:r w:rsidR="001258E5">
        <w:rPr>
          <w:rFonts w:ascii="Arial" w:hAnsi="Arial" w:cs="Arial"/>
        </w:rPr>
        <w:t xml:space="preserve"> and other airborne cont</w:t>
      </w:r>
      <w:r w:rsidR="00E04B2A">
        <w:rPr>
          <w:rFonts w:ascii="Arial" w:hAnsi="Arial" w:cs="Arial"/>
        </w:rPr>
        <w:t>aminants</w:t>
      </w:r>
      <w:r w:rsidR="00953017">
        <w:rPr>
          <w:rFonts w:ascii="Arial" w:hAnsi="Arial" w:cs="Arial"/>
        </w:rPr>
        <w:t>.  T</w:t>
      </w:r>
      <w:r w:rsidRPr="00DD1513">
        <w:rPr>
          <w:rFonts w:ascii="Arial" w:hAnsi="Arial" w:cs="Arial"/>
        </w:rPr>
        <w:t xml:space="preserve">he Agency is required to review its </w:t>
      </w:r>
      <w:r w:rsidR="00953017">
        <w:rPr>
          <w:rFonts w:ascii="Arial" w:hAnsi="Arial" w:cs="Arial"/>
        </w:rPr>
        <w:t xml:space="preserve">basic </w:t>
      </w:r>
      <w:r w:rsidRPr="00DD1513">
        <w:rPr>
          <w:rFonts w:ascii="Arial" w:hAnsi="Arial" w:cs="Arial"/>
        </w:rPr>
        <w:t xml:space="preserve">approach </w:t>
      </w:r>
      <w:r w:rsidR="00E04B2A">
        <w:rPr>
          <w:rFonts w:ascii="Arial" w:hAnsi="Arial" w:cs="Arial"/>
        </w:rPr>
        <w:t xml:space="preserve">for each pollutant </w:t>
      </w:r>
      <w:r w:rsidRPr="00DD1513">
        <w:rPr>
          <w:rFonts w:ascii="Arial" w:hAnsi="Arial" w:cs="Arial"/>
        </w:rPr>
        <w:t>every five years</w:t>
      </w:r>
      <w:r w:rsidR="00953017">
        <w:rPr>
          <w:rFonts w:ascii="Arial" w:hAnsi="Arial" w:cs="Arial"/>
        </w:rPr>
        <w:t xml:space="preserve"> in light of emerging knowledge</w:t>
      </w:r>
      <w:r w:rsidRPr="00DD1513">
        <w:rPr>
          <w:rFonts w:ascii="Arial" w:hAnsi="Arial" w:cs="Arial"/>
        </w:rPr>
        <w:t>.  The agency’s Clean Air Science Advisory Committee (CASAC), a group of outside experts, systematically reviews the late</w:t>
      </w:r>
      <w:r w:rsidR="00E04B2A">
        <w:rPr>
          <w:rFonts w:ascii="Arial" w:hAnsi="Arial" w:cs="Arial"/>
        </w:rPr>
        <w:t xml:space="preserve">st scientific information on health and environmental </w:t>
      </w:r>
      <w:r w:rsidRPr="00DD1513">
        <w:rPr>
          <w:rFonts w:ascii="Arial" w:hAnsi="Arial" w:cs="Arial"/>
        </w:rPr>
        <w:t>risks, and its air program then issues a new regulation on PM.</w:t>
      </w:r>
    </w:p>
    <w:p w:rsidR="00B20B2E" w:rsidRDefault="00B20B2E" w:rsidP="00B20B2E">
      <w:pPr>
        <w:jc w:val="both"/>
        <w:rPr>
          <w:rFonts w:ascii="Arial" w:hAnsi="Arial" w:cs="Arial"/>
        </w:rPr>
      </w:pPr>
      <w:r w:rsidRPr="00DD1513">
        <w:rPr>
          <w:rFonts w:ascii="Arial" w:hAnsi="Arial" w:cs="Arial"/>
        </w:rPr>
        <w:t>Then upshot: originally the emission of “black smoke” was the main target of emissions controls</w:t>
      </w:r>
      <w:r w:rsidR="00E04B2A">
        <w:rPr>
          <w:rFonts w:ascii="Arial" w:hAnsi="Arial" w:cs="Arial"/>
        </w:rPr>
        <w:t xml:space="preserve"> for PM</w:t>
      </w:r>
      <w:r w:rsidRPr="00DD1513">
        <w:rPr>
          <w:rFonts w:ascii="Arial" w:hAnsi="Arial" w:cs="Arial"/>
        </w:rPr>
        <w:t xml:space="preserve">.  In successive reviews, </w:t>
      </w:r>
      <w:r w:rsidR="00E04B2A">
        <w:rPr>
          <w:rFonts w:ascii="Arial" w:hAnsi="Arial" w:cs="Arial"/>
        </w:rPr>
        <w:t xml:space="preserve">as more evidence came to light, </w:t>
      </w:r>
      <w:r w:rsidRPr="00DD1513">
        <w:rPr>
          <w:rFonts w:ascii="Arial" w:hAnsi="Arial" w:cs="Arial"/>
        </w:rPr>
        <w:t>the target was first changed to small (10 micron) airborne particles instead, and later still the target was further adjusted to reduce human exposure to 2.5 m</w:t>
      </w:r>
      <w:r w:rsidR="00E04B2A">
        <w:rPr>
          <w:rFonts w:ascii="Arial" w:hAnsi="Arial" w:cs="Arial"/>
        </w:rPr>
        <w:t xml:space="preserve">icron particles.  The </w:t>
      </w:r>
      <w:r w:rsidRPr="00DD1513">
        <w:rPr>
          <w:rFonts w:ascii="Arial" w:hAnsi="Arial" w:cs="Arial"/>
        </w:rPr>
        <w:t xml:space="preserve">monetized health benefits of </w:t>
      </w:r>
      <w:r w:rsidR="00E04B2A">
        <w:rPr>
          <w:rFonts w:ascii="Arial" w:hAnsi="Arial" w:cs="Arial"/>
        </w:rPr>
        <w:t xml:space="preserve">the resulting </w:t>
      </w:r>
      <w:r w:rsidRPr="00DD1513">
        <w:rPr>
          <w:rFonts w:ascii="Arial" w:hAnsi="Arial" w:cs="Arial"/>
        </w:rPr>
        <w:t>PM controls have been calculated to be in the range of $5 billion a year.   Another interesting past feature of the PM program is that Congress allocated ove</w:t>
      </w:r>
      <w:r w:rsidR="00E04B2A">
        <w:rPr>
          <w:rFonts w:ascii="Arial" w:hAnsi="Arial" w:cs="Arial"/>
        </w:rPr>
        <w:t>r a half-billion dollars for additional</w:t>
      </w:r>
      <w:r w:rsidRPr="00DD1513">
        <w:rPr>
          <w:rFonts w:ascii="Arial" w:hAnsi="Arial" w:cs="Arial"/>
        </w:rPr>
        <w:t xml:space="preserve"> research on PM risk, and the independent National Academy of Science guided the setting of relative priorities for those research funds, based on potential health impact.</w:t>
      </w:r>
    </w:p>
    <w:p w:rsidR="00E04B2A" w:rsidRPr="00DD1513" w:rsidRDefault="00E04B2A" w:rsidP="00B20B2E">
      <w:pPr>
        <w:jc w:val="both"/>
        <w:rPr>
          <w:rFonts w:ascii="Arial" w:hAnsi="Arial" w:cs="Arial"/>
        </w:rPr>
      </w:pPr>
    </w:p>
    <w:p w:rsidR="00B20B2E" w:rsidRDefault="00B20B2E" w:rsidP="00B20B2E">
      <w:pPr>
        <w:jc w:val="both"/>
        <w:rPr>
          <w:rFonts w:ascii="Arial" w:hAnsi="Arial" w:cs="Arial"/>
          <w:i/>
        </w:rPr>
      </w:pPr>
    </w:p>
    <w:p w:rsidR="00913319" w:rsidRPr="00913319" w:rsidRDefault="00913319" w:rsidP="00913319">
      <w:pPr>
        <w:jc w:val="both"/>
        <w:rPr>
          <w:rFonts w:ascii="Arial" w:hAnsi="Arial" w:cs="Arial"/>
          <w:i/>
          <w:u w:val="single"/>
        </w:rPr>
      </w:pPr>
      <w:r>
        <w:rPr>
          <w:rFonts w:ascii="Arial" w:hAnsi="Arial" w:cs="Arial"/>
          <w:i/>
          <w:u w:val="single"/>
        </w:rPr>
        <w:lastRenderedPageBreak/>
        <w:t xml:space="preserve">[] </w:t>
      </w:r>
      <w:r w:rsidRPr="00913319">
        <w:rPr>
          <w:rFonts w:ascii="Arial" w:hAnsi="Arial" w:cs="Arial"/>
          <w:i/>
          <w:u w:val="single"/>
        </w:rPr>
        <w:t>Highway Safety</w:t>
      </w:r>
    </w:p>
    <w:p w:rsidR="00913319" w:rsidRPr="00913319" w:rsidRDefault="004D3D4D" w:rsidP="00913319">
      <w:pPr>
        <w:jc w:val="both"/>
        <w:rPr>
          <w:rFonts w:ascii="Arial" w:hAnsi="Arial" w:cs="Arial"/>
        </w:rPr>
      </w:pPr>
      <w:r>
        <w:rPr>
          <w:rFonts w:ascii="Arial" w:hAnsi="Arial" w:cs="Arial"/>
        </w:rPr>
        <w:t>In the past 3</w:t>
      </w:r>
      <w:r w:rsidR="00913319" w:rsidRPr="00913319">
        <w:rPr>
          <w:rFonts w:ascii="Arial" w:hAnsi="Arial" w:cs="Arial"/>
        </w:rPr>
        <w:t xml:space="preserve">0 years, the </w:t>
      </w:r>
      <w:r w:rsidR="00953017">
        <w:rPr>
          <w:rFonts w:ascii="Arial" w:hAnsi="Arial" w:cs="Arial"/>
        </w:rPr>
        <w:t xml:space="preserve">U.S </w:t>
      </w:r>
      <w:r w:rsidR="00913319" w:rsidRPr="00913319">
        <w:rPr>
          <w:rFonts w:ascii="Arial" w:hAnsi="Arial" w:cs="Arial"/>
        </w:rPr>
        <w:t>highway fatality risk per mil</w:t>
      </w:r>
      <w:r w:rsidR="00E04B2A">
        <w:rPr>
          <w:rFonts w:ascii="Arial" w:hAnsi="Arial" w:cs="Arial"/>
        </w:rPr>
        <w:t>e traveled has improved</w:t>
      </w:r>
      <w:r>
        <w:rPr>
          <w:rFonts w:ascii="Arial" w:hAnsi="Arial" w:cs="Arial"/>
        </w:rPr>
        <w:t xml:space="preserve"> by about 6</w:t>
      </w:r>
      <w:r w:rsidR="00953017">
        <w:rPr>
          <w:rFonts w:ascii="Arial" w:hAnsi="Arial" w:cs="Arial"/>
        </w:rPr>
        <w:t>0%.</w:t>
      </w:r>
      <w:r>
        <w:rPr>
          <w:rStyle w:val="EndnoteReference"/>
          <w:rFonts w:ascii="Arial" w:hAnsi="Arial" w:cs="Arial"/>
        </w:rPr>
        <w:endnoteReference w:id="6"/>
      </w:r>
      <w:r w:rsidR="00913319" w:rsidRPr="00913319">
        <w:rPr>
          <w:rFonts w:ascii="Arial" w:hAnsi="Arial" w:cs="Arial"/>
        </w:rPr>
        <w:t xml:space="preserve"> </w:t>
      </w:r>
    </w:p>
    <w:p w:rsidR="00913319" w:rsidRDefault="00913319" w:rsidP="00913319">
      <w:pPr>
        <w:jc w:val="both"/>
        <w:rPr>
          <w:rFonts w:ascii="Arial" w:hAnsi="Arial" w:cs="Arial"/>
        </w:rPr>
      </w:pPr>
      <w:r w:rsidRPr="00913319">
        <w:rPr>
          <w:rFonts w:ascii="Arial" w:hAnsi="Arial" w:cs="Arial"/>
        </w:rPr>
        <w:t>Many state and federal</w:t>
      </w:r>
      <w:r w:rsidR="00B20B2E">
        <w:rPr>
          <w:rFonts w:ascii="Arial" w:hAnsi="Arial" w:cs="Arial"/>
        </w:rPr>
        <w:t xml:space="preserve"> and private</w:t>
      </w:r>
      <w:r w:rsidR="00091181">
        <w:rPr>
          <w:rFonts w:ascii="Arial" w:hAnsi="Arial" w:cs="Arial"/>
        </w:rPr>
        <w:t>-</w:t>
      </w:r>
      <w:r w:rsidR="00B20B2E">
        <w:rPr>
          <w:rFonts w:ascii="Arial" w:hAnsi="Arial" w:cs="Arial"/>
        </w:rPr>
        <w:t xml:space="preserve">sector </w:t>
      </w:r>
      <w:r w:rsidRPr="00913319">
        <w:rPr>
          <w:rFonts w:ascii="Arial" w:hAnsi="Arial" w:cs="Arial"/>
        </w:rPr>
        <w:t xml:space="preserve">factors contribute to this </w:t>
      </w:r>
      <w:r w:rsidR="00E04B2A">
        <w:rPr>
          <w:rFonts w:ascii="Arial" w:hAnsi="Arial" w:cs="Arial"/>
        </w:rPr>
        <w:t>success</w:t>
      </w:r>
      <w:r w:rsidRPr="00913319">
        <w:rPr>
          <w:rFonts w:ascii="Arial" w:hAnsi="Arial" w:cs="Arial"/>
        </w:rPr>
        <w:t xml:space="preserve">.  One of </w:t>
      </w:r>
      <w:r w:rsidR="00E04B2A">
        <w:rPr>
          <w:rFonts w:ascii="Arial" w:hAnsi="Arial" w:cs="Arial"/>
        </w:rPr>
        <w:t xml:space="preserve">key </w:t>
      </w:r>
      <w:proofErr w:type="gramStart"/>
      <w:r w:rsidR="00E04B2A">
        <w:rPr>
          <w:rFonts w:ascii="Arial" w:hAnsi="Arial" w:cs="Arial"/>
        </w:rPr>
        <w:t xml:space="preserve">factors </w:t>
      </w:r>
      <w:r w:rsidRPr="00913319">
        <w:rPr>
          <w:rFonts w:ascii="Arial" w:hAnsi="Arial" w:cs="Arial"/>
        </w:rPr>
        <w:t xml:space="preserve"> the</w:t>
      </w:r>
      <w:proofErr w:type="gramEnd"/>
      <w:r w:rsidRPr="00913319">
        <w:rPr>
          <w:rFonts w:ascii="Arial" w:hAnsi="Arial" w:cs="Arial"/>
        </w:rPr>
        <w:t xml:space="preserve"> emergence of safer car designs.  </w:t>
      </w:r>
      <w:r w:rsidR="00E04B2A">
        <w:rPr>
          <w:rFonts w:ascii="Arial" w:hAnsi="Arial" w:cs="Arial"/>
        </w:rPr>
        <w:t>Here, p</w:t>
      </w:r>
      <w:r w:rsidR="00953017">
        <w:rPr>
          <w:rFonts w:ascii="Arial" w:hAnsi="Arial" w:cs="Arial"/>
        </w:rPr>
        <w:t xml:space="preserve">lanned adaptation takes the form of systematic new knowledge about survivability of different types of collisions.  </w:t>
      </w:r>
      <w:r w:rsidRPr="00913319">
        <w:rPr>
          <w:rFonts w:ascii="Arial" w:hAnsi="Arial" w:cs="Arial"/>
        </w:rPr>
        <w:t xml:space="preserve">The Insurance Institute for Highway Safety </w:t>
      </w:r>
      <w:r w:rsidR="00600E39">
        <w:rPr>
          <w:rFonts w:ascii="Arial" w:hAnsi="Arial" w:cs="Arial"/>
        </w:rPr>
        <w:t xml:space="preserve">(IIHS) </w:t>
      </w:r>
      <w:r w:rsidRPr="00913319">
        <w:rPr>
          <w:rFonts w:ascii="Arial" w:hAnsi="Arial" w:cs="Arial"/>
        </w:rPr>
        <w:t>has been a leader in th</w:t>
      </w:r>
      <w:r w:rsidR="00B20B2E">
        <w:rPr>
          <w:rFonts w:ascii="Arial" w:hAnsi="Arial" w:cs="Arial"/>
        </w:rPr>
        <w:t>is effort through its innovative</w:t>
      </w:r>
      <w:r w:rsidRPr="00913319">
        <w:rPr>
          <w:rFonts w:ascii="Arial" w:hAnsi="Arial" w:cs="Arial"/>
        </w:rPr>
        <w:t xml:space="preserve"> crash-testing facility.  It has been estimated that the fatality risk in a car with IIHS’ “good” rating is a factor of four better than risk in a car with a “poor” rating.</w:t>
      </w:r>
      <w:r w:rsidR="004D3D4D">
        <w:rPr>
          <w:rStyle w:val="EndnoteReference"/>
          <w:rFonts w:ascii="Arial" w:hAnsi="Arial" w:cs="Arial"/>
        </w:rPr>
        <w:endnoteReference w:id="7"/>
      </w:r>
      <w:r w:rsidRPr="00913319">
        <w:rPr>
          <w:rFonts w:ascii="Arial" w:hAnsi="Arial" w:cs="Arial"/>
        </w:rPr>
        <w:t xml:space="preserve"> </w:t>
      </w:r>
      <w:r w:rsidR="00600E39">
        <w:rPr>
          <w:rFonts w:ascii="Arial" w:hAnsi="Arial" w:cs="Arial"/>
        </w:rPr>
        <w:t xml:space="preserve">IIHS, organized </w:t>
      </w:r>
      <w:r w:rsidR="00EF455E">
        <w:rPr>
          <w:rFonts w:ascii="Arial" w:hAnsi="Arial" w:cs="Arial"/>
        </w:rPr>
        <w:t>in 1959</w:t>
      </w:r>
      <w:r w:rsidR="00600E39">
        <w:rPr>
          <w:rFonts w:ascii="Arial" w:hAnsi="Arial" w:cs="Arial"/>
        </w:rPr>
        <w:t xml:space="preserve"> with funding by three major insurance companies, has over time intr</w:t>
      </w:r>
      <w:r w:rsidR="00953017">
        <w:rPr>
          <w:rFonts w:ascii="Arial" w:hAnsi="Arial" w:cs="Arial"/>
        </w:rPr>
        <w:t xml:space="preserve">oduced and implemented new varieties </w:t>
      </w:r>
      <w:r w:rsidR="00600E39">
        <w:rPr>
          <w:rFonts w:ascii="Arial" w:hAnsi="Arial" w:cs="Arial"/>
        </w:rPr>
        <w:t xml:space="preserve">of crash tests </w:t>
      </w:r>
      <w:r w:rsidR="00B20B2E">
        <w:rPr>
          <w:rFonts w:ascii="Arial" w:hAnsi="Arial" w:cs="Arial"/>
        </w:rPr>
        <w:t>in order to</w:t>
      </w:r>
      <w:r w:rsidR="00600E39">
        <w:rPr>
          <w:rFonts w:ascii="Arial" w:hAnsi="Arial" w:cs="Arial"/>
        </w:rPr>
        <w:t xml:space="preserve"> learn how car design affects occupant safety.</w:t>
      </w:r>
    </w:p>
    <w:p w:rsidR="00913319" w:rsidRPr="00913319" w:rsidRDefault="00913319" w:rsidP="00913319">
      <w:pPr>
        <w:jc w:val="both"/>
        <w:rPr>
          <w:rFonts w:ascii="Arial" w:hAnsi="Arial" w:cs="Arial"/>
        </w:rPr>
      </w:pPr>
    </w:p>
    <w:p w:rsidR="00913319" w:rsidRDefault="005A4A56" w:rsidP="00913319">
      <w:pPr>
        <w:jc w:val="both"/>
        <w:rPr>
          <w:rFonts w:ascii="Arial" w:hAnsi="Arial" w:cs="Arial"/>
          <w:i/>
          <w:u w:val="single"/>
        </w:rPr>
      </w:pPr>
      <w:proofErr w:type="gramStart"/>
      <w:r>
        <w:rPr>
          <w:rFonts w:ascii="Arial" w:hAnsi="Arial" w:cs="Arial"/>
          <w:i/>
          <w:u w:val="single"/>
        </w:rPr>
        <w:t>[]  Delta</w:t>
      </w:r>
      <w:proofErr w:type="gramEnd"/>
      <w:r w:rsidR="00913319">
        <w:rPr>
          <w:rFonts w:ascii="Arial" w:hAnsi="Arial" w:cs="Arial"/>
          <w:i/>
          <w:u w:val="single"/>
        </w:rPr>
        <w:t xml:space="preserve"> Management</w:t>
      </w:r>
      <w:r>
        <w:rPr>
          <w:rFonts w:ascii="Arial" w:hAnsi="Arial" w:cs="Arial"/>
          <w:i/>
          <w:u w:val="single"/>
        </w:rPr>
        <w:t xml:space="preserve"> in the Netherlands</w:t>
      </w:r>
    </w:p>
    <w:p w:rsidR="00BA2622" w:rsidRDefault="00BA2622" w:rsidP="00913319">
      <w:pPr>
        <w:jc w:val="both"/>
        <w:rPr>
          <w:rFonts w:ascii="Arial" w:hAnsi="Arial" w:cs="Arial"/>
          <w:i/>
          <w:u w:val="single"/>
        </w:rPr>
      </w:pPr>
    </w:p>
    <w:p w:rsidR="00BA2622" w:rsidRPr="00F801AA" w:rsidRDefault="00BA2622" w:rsidP="00A6540A">
      <w:pPr>
        <w:jc w:val="both"/>
        <w:rPr>
          <w:rFonts w:ascii="Arial" w:hAnsi="Arial" w:cs="Arial"/>
        </w:rPr>
      </w:pPr>
      <w:r w:rsidRPr="00F801AA">
        <w:rPr>
          <w:rFonts w:ascii="Arial" w:hAnsi="Arial" w:cs="Arial"/>
        </w:rPr>
        <w:t>In 1953, within 20 days of a catastrophic flash flood of the so</w:t>
      </w:r>
      <w:r w:rsidR="00E04B2A">
        <w:rPr>
          <w:rFonts w:ascii="Arial" w:hAnsi="Arial" w:cs="Arial"/>
        </w:rPr>
        <w:t>uth-west of the Netherlands, a</w:t>
      </w:r>
      <w:r w:rsidRPr="00F801AA">
        <w:rPr>
          <w:rFonts w:ascii="Arial" w:hAnsi="Arial" w:cs="Arial"/>
        </w:rPr>
        <w:t xml:space="preserve"> commi</w:t>
      </w:r>
      <w:r w:rsidR="00E04B2A">
        <w:rPr>
          <w:rFonts w:ascii="Arial" w:hAnsi="Arial" w:cs="Arial"/>
        </w:rPr>
        <w:t xml:space="preserve">ssion was installed to lead the effort of to write </w:t>
      </w:r>
      <w:r w:rsidRPr="00F801AA">
        <w:rPr>
          <w:rFonts w:ascii="Arial" w:hAnsi="Arial" w:cs="Arial"/>
        </w:rPr>
        <w:t>the ‘</w:t>
      </w:r>
      <w:proofErr w:type="spellStart"/>
      <w:r w:rsidRPr="00F801AA">
        <w:rPr>
          <w:rFonts w:ascii="Arial" w:hAnsi="Arial" w:cs="Arial"/>
        </w:rPr>
        <w:t>Deltaplan</w:t>
      </w:r>
      <w:proofErr w:type="spellEnd"/>
      <w:r w:rsidRPr="00F801AA">
        <w:rPr>
          <w:rFonts w:ascii="Arial" w:hAnsi="Arial" w:cs="Arial"/>
        </w:rPr>
        <w:t xml:space="preserve">’, </w:t>
      </w:r>
      <w:r w:rsidR="00E04B2A">
        <w:rPr>
          <w:rFonts w:ascii="Arial" w:hAnsi="Arial" w:cs="Arial"/>
        </w:rPr>
        <w:t xml:space="preserve">which </w:t>
      </w:r>
      <w:r w:rsidRPr="00F801AA">
        <w:rPr>
          <w:rFonts w:ascii="Arial" w:hAnsi="Arial" w:cs="Arial"/>
        </w:rPr>
        <w:t>involved the constructions of dams and surge barriers to prevent reoccurrence. Only during the const</w:t>
      </w:r>
      <w:r w:rsidR="006040F2">
        <w:rPr>
          <w:rFonts w:ascii="Arial" w:hAnsi="Arial" w:cs="Arial"/>
        </w:rPr>
        <w:t>ruction of the immense project</w:t>
      </w:r>
      <w:r w:rsidR="00E04B2A">
        <w:rPr>
          <w:rFonts w:ascii="Arial" w:hAnsi="Arial" w:cs="Arial"/>
        </w:rPr>
        <w:t xml:space="preserve">, which </w:t>
      </w:r>
      <w:r w:rsidRPr="00F801AA">
        <w:rPr>
          <w:rFonts w:ascii="Arial" w:hAnsi="Arial" w:cs="Arial"/>
        </w:rPr>
        <w:t xml:space="preserve">lasted from 1958 till 1986, </w:t>
      </w:r>
      <w:r w:rsidR="00E04B2A">
        <w:rPr>
          <w:rFonts w:ascii="Arial" w:hAnsi="Arial" w:cs="Arial"/>
        </w:rPr>
        <w:t xml:space="preserve">did </w:t>
      </w:r>
      <w:r w:rsidRPr="00F801AA">
        <w:rPr>
          <w:rFonts w:ascii="Arial" w:hAnsi="Arial" w:cs="Arial"/>
        </w:rPr>
        <w:t>the impact of the interventions on the ecosystem and society became visible. In September 2014 the Dutch parliament approved the follow-up ‘</w:t>
      </w:r>
      <w:proofErr w:type="spellStart"/>
      <w:r w:rsidRPr="00F801AA">
        <w:rPr>
          <w:rFonts w:ascii="Arial" w:hAnsi="Arial" w:cs="Arial"/>
        </w:rPr>
        <w:t>Deltaprogramma</w:t>
      </w:r>
      <w:proofErr w:type="spellEnd"/>
      <w:r w:rsidRPr="00F801AA">
        <w:rPr>
          <w:rFonts w:ascii="Arial" w:hAnsi="Arial" w:cs="Arial"/>
        </w:rPr>
        <w:t xml:space="preserve"> 2015’ that is projected to last till 2050. Having learned from the first program, the key feature now is </w:t>
      </w:r>
      <w:r w:rsidR="00E04B2A">
        <w:rPr>
          <w:rFonts w:ascii="Arial" w:hAnsi="Arial" w:cs="Arial"/>
        </w:rPr>
        <w:t xml:space="preserve">planning </w:t>
      </w:r>
      <w:r w:rsidRPr="00F801AA">
        <w:rPr>
          <w:rFonts w:ascii="Arial" w:hAnsi="Arial" w:cs="Arial"/>
        </w:rPr>
        <w:t xml:space="preserve">flexibility </w:t>
      </w:r>
      <w:r w:rsidR="00A6540A">
        <w:rPr>
          <w:rFonts w:ascii="Arial" w:hAnsi="Arial" w:cs="Arial"/>
        </w:rPr>
        <w:t xml:space="preserve">explicitly </w:t>
      </w:r>
      <w:r w:rsidRPr="00F801AA">
        <w:rPr>
          <w:rFonts w:ascii="Arial" w:hAnsi="Arial" w:cs="Arial"/>
        </w:rPr>
        <w:t xml:space="preserve">termed ‘adaptive delta management’. It goes far beyond flood defense and includes safeguarding fresh water supply, </w:t>
      </w:r>
      <w:r w:rsidR="00E04B2A">
        <w:rPr>
          <w:rFonts w:ascii="Arial" w:hAnsi="Arial" w:cs="Arial"/>
        </w:rPr>
        <w:t>ecosystem management, the climate-</w:t>
      </w:r>
      <w:r w:rsidRPr="00F801AA">
        <w:rPr>
          <w:rFonts w:ascii="Arial" w:hAnsi="Arial" w:cs="Arial"/>
        </w:rPr>
        <w:t>proof</w:t>
      </w:r>
      <w:r w:rsidR="00E04B2A">
        <w:rPr>
          <w:rFonts w:ascii="Arial" w:hAnsi="Arial" w:cs="Arial"/>
        </w:rPr>
        <w:t xml:space="preserve">ing of </w:t>
      </w:r>
      <w:r w:rsidRPr="00F801AA">
        <w:rPr>
          <w:rFonts w:ascii="Arial" w:hAnsi="Arial" w:cs="Arial"/>
        </w:rPr>
        <w:t>the built environment, and maintenance of economic infrastructures. Alternative strategies are being prepared right from the start in order to be able to adjust the program to changing conditions, e.g. in climate and sea level rise, as they occur. Adaptive delta management builds on coordinated decision making by a large number of ministries and agencies, research institutes, national and local population, and industry and commerce.</w:t>
      </w:r>
      <w:r w:rsidR="004658A4">
        <w:rPr>
          <w:rStyle w:val="EndnoteReference"/>
          <w:rFonts w:ascii="Arial" w:hAnsi="Arial" w:cs="Arial"/>
        </w:rPr>
        <w:endnoteReference w:id="8"/>
      </w:r>
      <w:r w:rsidRPr="00F801AA">
        <w:rPr>
          <w:rFonts w:ascii="Arial" w:hAnsi="Arial" w:cs="Arial"/>
        </w:rPr>
        <w:t xml:space="preserve">    </w:t>
      </w:r>
    </w:p>
    <w:p w:rsidR="00BA2622" w:rsidRDefault="00BA2622" w:rsidP="00BA2622">
      <w:pPr>
        <w:rPr>
          <w:rFonts w:ascii="Arial" w:hAnsi="Arial" w:cs="Arial"/>
        </w:rPr>
      </w:pPr>
    </w:p>
    <w:p w:rsidR="00913319" w:rsidRPr="00A6540A" w:rsidRDefault="00913319" w:rsidP="00913319">
      <w:pPr>
        <w:jc w:val="both"/>
        <w:rPr>
          <w:rFonts w:ascii="Arial" w:hAnsi="Arial" w:cs="Arial"/>
        </w:rPr>
      </w:pPr>
      <w:proofErr w:type="gramStart"/>
      <w:r w:rsidRPr="00913319">
        <w:rPr>
          <w:rFonts w:ascii="Arial" w:hAnsi="Arial" w:cs="Arial"/>
          <w:i/>
          <w:u w:val="single"/>
        </w:rPr>
        <w:t>[] Urban Fire Safety</w:t>
      </w:r>
      <w:r w:rsidR="00A6540A">
        <w:rPr>
          <w:rFonts w:ascii="Arial" w:hAnsi="Arial" w:cs="Arial"/>
        </w:rPr>
        <w:t xml:space="preserve">   [[[</w:t>
      </w:r>
      <w:r w:rsidR="00B20B2E">
        <w:rPr>
          <w:rFonts w:ascii="Arial" w:hAnsi="Arial" w:cs="Arial"/>
        </w:rPr>
        <w:t xml:space="preserve">STILL </w:t>
      </w:r>
      <w:r w:rsidR="00A6540A">
        <w:rPr>
          <w:rFonts w:ascii="Arial" w:hAnsi="Arial" w:cs="Arial"/>
        </w:rPr>
        <w:t>TOO WISPY TO RETAIN???]]]</w:t>
      </w:r>
      <w:proofErr w:type="gramEnd"/>
    </w:p>
    <w:p w:rsidR="00913319" w:rsidRDefault="00F63594" w:rsidP="00913319">
      <w:pPr>
        <w:jc w:val="both"/>
        <w:rPr>
          <w:rFonts w:ascii="Arial" w:hAnsi="Arial" w:cs="Arial"/>
        </w:rPr>
      </w:pPr>
      <w:r>
        <w:rPr>
          <w:rFonts w:ascii="Arial" w:hAnsi="Arial" w:cs="Arial"/>
        </w:rPr>
        <w:t>Since the late 1970s, the number of</w:t>
      </w:r>
      <w:r w:rsidR="00E143CF">
        <w:rPr>
          <w:rFonts w:ascii="Arial" w:hAnsi="Arial" w:cs="Arial"/>
        </w:rPr>
        <w:t xml:space="preserve"> building</w:t>
      </w:r>
      <w:r>
        <w:rPr>
          <w:rFonts w:ascii="Arial" w:hAnsi="Arial" w:cs="Arial"/>
        </w:rPr>
        <w:t xml:space="preserve"> fires </w:t>
      </w:r>
      <w:r w:rsidR="00A6540A">
        <w:rPr>
          <w:rFonts w:ascii="Arial" w:hAnsi="Arial" w:cs="Arial"/>
        </w:rPr>
        <w:t xml:space="preserve">in the U.S. </w:t>
      </w:r>
      <w:r>
        <w:rPr>
          <w:rFonts w:ascii="Arial" w:hAnsi="Arial" w:cs="Arial"/>
        </w:rPr>
        <w:t>has fallen by more than 60%, and the number of fire deaths in homes has declined by over 50%.</w:t>
      </w:r>
      <w:r>
        <w:rPr>
          <w:rStyle w:val="EndnoteReference"/>
          <w:rFonts w:ascii="Arial" w:hAnsi="Arial" w:cs="Arial"/>
        </w:rPr>
        <w:endnoteReference w:id="9"/>
      </w:r>
      <w:r>
        <w:rPr>
          <w:rFonts w:ascii="Arial" w:hAnsi="Arial" w:cs="Arial"/>
        </w:rPr>
        <w:t xml:space="preserve">   </w:t>
      </w:r>
      <w:r w:rsidR="00E143CF">
        <w:rPr>
          <w:rFonts w:ascii="Arial" w:hAnsi="Arial" w:cs="Arial"/>
        </w:rPr>
        <w:t xml:space="preserve">Today, </w:t>
      </w:r>
      <w:r w:rsidR="001258E5">
        <w:rPr>
          <w:rFonts w:ascii="Arial" w:hAnsi="Arial" w:cs="Arial"/>
        </w:rPr>
        <w:t>a fire d</w:t>
      </w:r>
      <w:r>
        <w:rPr>
          <w:rFonts w:ascii="Arial" w:hAnsi="Arial" w:cs="Arial"/>
        </w:rPr>
        <w:t>epartment</w:t>
      </w:r>
      <w:r w:rsidR="001258E5">
        <w:rPr>
          <w:rFonts w:ascii="Arial" w:hAnsi="Arial" w:cs="Arial"/>
        </w:rPr>
        <w:t>’s</w:t>
      </w:r>
      <w:r>
        <w:rPr>
          <w:rFonts w:ascii="Arial" w:hAnsi="Arial" w:cs="Arial"/>
        </w:rPr>
        <w:t xml:space="preserve"> </w:t>
      </w:r>
      <w:r w:rsidR="001258E5">
        <w:rPr>
          <w:rFonts w:ascii="Arial" w:hAnsi="Arial" w:cs="Arial"/>
        </w:rPr>
        <w:t xml:space="preserve">emergency </w:t>
      </w:r>
      <w:r>
        <w:rPr>
          <w:rFonts w:ascii="Arial" w:hAnsi="Arial" w:cs="Arial"/>
        </w:rPr>
        <w:t>responses are much more likely to supply medical aid (</w:t>
      </w:r>
      <w:r w:rsidR="001258E5">
        <w:rPr>
          <w:rFonts w:ascii="Arial" w:hAnsi="Arial" w:cs="Arial"/>
        </w:rPr>
        <w:t xml:space="preserve">which account for </w:t>
      </w:r>
      <w:r>
        <w:rPr>
          <w:rFonts w:ascii="Arial" w:hAnsi="Arial" w:cs="Arial"/>
        </w:rPr>
        <w:t>64% of all calls) than either fires (4%) or false alarms (8%).</w:t>
      </w:r>
      <w:r>
        <w:rPr>
          <w:rStyle w:val="EndnoteReference"/>
          <w:rFonts w:ascii="Arial" w:hAnsi="Arial" w:cs="Arial"/>
        </w:rPr>
        <w:endnoteReference w:id="10"/>
      </w:r>
    </w:p>
    <w:p w:rsidR="00E143CF" w:rsidRDefault="00E143CF" w:rsidP="00913319">
      <w:pPr>
        <w:jc w:val="both"/>
        <w:rPr>
          <w:rFonts w:ascii="Arial" w:hAnsi="Arial" w:cs="Arial"/>
        </w:rPr>
      </w:pPr>
      <w:r>
        <w:rPr>
          <w:rFonts w:ascii="Arial" w:hAnsi="Arial" w:cs="Arial"/>
        </w:rPr>
        <w:t xml:space="preserve">The reasons for this steady long-term improvement are not clear, and are probably multifactorial.  Representatives of the National Fire Protection Association </w:t>
      </w:r>
      <w:r w:rsidR="00130560">
        <w:rPr>
          <w:rFonts w:ascii="Arial" w:hAnsi="Arial" w:cs="Arial"/>
        </w:rPr>
        <w:t xml:space="preserve">(NFTA) </w:t>
      </w:r>
      <w:r>
        <w:rPr>
          <w:rFonts w:ascii="Arial" w:hAnsi="Arial" w:cs="Arial"/>
        </w:rPr>
        <w:t>cite the introduction of technologies including fire detectors and automatic sprinklers.</w:t>
      </w:r>
      <w:r>
        <w:rPr>
          <w:rStyle w:val="EndnoteReference"/>
          <w:rFonts w:ascii="Arial" w:hAnsi="Arial" w:cs="Arial"/>
        </w:rPr>
        <w:endnoteReference w:id="11"/>
      </w:r>
      <w:r>
        <w:rPr>
          <w:rFonts w:ascii="Arial" w:hAnsi="Arial" w:cs="Arial"/>
        </w:rPr>
        <w:t xml:space="preserve"> The contribution of insurance entities, and their loss data, may prove to be </w:t>
      </w:r>
      <w:r w:rsidR="001258E5">
        <w:rPr>
          <w:rFonts w:ascii="Arial" w:hAnsi="Arial" w:cs="Arial"/>
        </w:rPr>
        <w:t xml:space="preserve">a </w:t>
      </w:r>
      <w:r>
        <w:rPr>
          <w:rFonts w:ascii="Arial" w:hAnsi="Arial" w:cs="Arial"/>
        </w:rPr>
        <w:t>significant</w:t>
      </w:r>
      <w:r w:rsidR="001258E5">
        <w:rPr>
          <w:rFonts w:ascii="Arial" w:hAnsi="Arial" w:cs="Arial"/>
        </w:rPr>
        <w:t xml:space="preserve"> part of this story</w:t>
      </w:r>
      <w:r>
        <w:rPr>
          <w:rFonts w:ascii="Arial" w:hAnsi="Arial" w:cs="Arial"/>
        </w:rPr>
        <w:t xml:space="preserve">.  </w:t>
      </w:r>
    </w:p>
    <w:p w:rsidR="00F63594" w:rsidRDefault="00F63594" w:rsidP="00913319">
      <w:pPr>
        <w:jc w:val="both"/>
        <w:rPr>
          <w:rFonts w:ascii="Arial" w:hAnsi="Arial" w:cs="Arial"/>
        </w:rPr>
      </w:pPr>
    </w:p>
    <w:p w:rsidR="001258E5" w:rsidRDefault="001258E5" w:rsidP="00913319">
      <w:pPr>
        <w:jc w:val="both"/>
        <w:rPr>
          <w:rFonts w:ascii="Arial" w:hAnsi="Arial" w:cs="Arial"/>
        </w:rPr>
      </w:pPr>
    </w:p>
    <w:p w:rsidR="00F63594" w:rsidRDefault="00EF455E" w:rsidP="00913319">
      <w:pPr>
        <w:jc w:val="both"/>
        <w:rPr>
          <w:rFonts w:ascii="Arial" w:hAnsi="Arial" w:cs="Arial"/>
        </w:rPr>
      </w:pPr>
      <w:r>
        <w:rPr>
          <w:rFonts w:ascii="Arial" w:hAnsi="Arial" w:cs="Arial"/>
        </w:rPr>
        <w:lastRenderedPageBreak/>
        <w:t>[[[KEN]]]</w:t>
      </w:r>
    </w:p>
    <w:p w:rsidR="00913319" w:rsidRPr="00913319" w:rsidRDefault="00A6540A" w:rsidP="00913319">
      <w:pPr>
        <w:jc w:val="both"/>
        <w:rPr>
          <w:rFonts w:ascii="Arial" w:hAnsi="Arial" w:cs="Arial"/>
        </w:rPr>
      </w:pPr>
      <w:proofErr w:type="gramStart"/>
      <w:r>
        <w:rPr>
          <w:rFonts w:ascii="Arial" w:hAnsi="Arial" w:cs="Arial"/>
        </w:rPr>
        <w:t>[[[Other Cases to be a</w:t>
      </w:r>
      <w:r w:rsidR="00913319">
        <w:rPr>
          <w:rFonts w:ascii="Arial" w:hAnsi="Arial" w:cs="Arial"/>
        </w:rPr>
        <w:t>dded?]]]</w:t>
      </w:r>
      <w:proofErr w:type="gramEnd"/>
    </w:p>
    <w:p w:rsidR="00913319" w:rsidRDefault="00913319" w:rsidP="00913319">
      <w:pPr>
        <w:jc w:val="both"/>
        <w:rPr>
          <w:rFonts w:ascii="Arial" w:hAnsi="Arial" w:cs="Arial"/>
        </w:rPr>
      </w:pPr>
      <w:proofErr w:type="gramStart"/>
      <w:r w:rsidRPr="00913319">
        <w:rPr>
          <w:rFonts w:ascii="Arial" w:hAnsi="Arial" w:cs="Arial"/>
        </w:rPr>
        <w:t>[] Methyl Mercury (help, Ken!)</w:t>
      </w:r>
      <w:proofErr w:type="gramEnd"/>
    </w:p>
    <w:p w:rsidR="00913319" w:rsidRPr="00913319" w:rsidRDefault="00913319" w:rsidP="00913319">
      <w:pPr>
        <w:jc w:val="both"/>
        <w:rPr>
          <w:rFonts w:ascii="Arial" w:hAnsi="Arial" w:cs="Arial"/>
        </w:rPr>
      </w:pPr>
      <w:proofErr w:type="gramStart"/>
      <w:r w:rsidRPr="00913319">
        <w:rPr>
          <w:rFonts w:ascii="Arial" w:hAnsi="Arial" w:cs="Arial"/>
        </w:rPr>
        <w:t>[] European BSE (help, somebody!)</w:t>
      </w:r>
      <w:proofErr w:type="gramEnd"/>
    </w:p>
    <w:p w:rsidR="00DC32C3" w:rsidRDefault="00913319" w:rsidP="00913319">
      <w:pPr>
        <w:jc w:val="both"/>
        <w:rPr>
          <w:rFonts w:ascii="Arial" w:hAnsi="Arial" w:cs="Arial"/>
        </w:rPr>
      </w:pPr>
      <w:r w:rsidRPr="00913319">
        <w:rPr>
          <w:rFonts w:ascii="Arial" w:hAnsi="Arial" w:cs="Arial"/>
        </w:rPr>
        <w:t>[] European Medical Agency (help, if this is a documented case of improvement!)</w:t>
      </w:r>
      <w:r w:rsidR="00B20B2E">
        <w:rPr>
          <w:rFonts w:ascii="Arial" w:hAnsi="Arial" w:cs="Arial"/>
        </w:rPr>
        <w:t>]]]</w:t>
      </w:r>
    </w:p>
    <w:p w:rsidR="00722B7E" w:rsidRDefault="00722B7E" w:rsidP="00913319">
      <w:pPr>
        <w:jc w:val="both"/>
        <w:rPr>
          <w:rFonts w:ascii="Arial" w:hAnsi="Arial" w:cs="Arial"/>
        </w:rPr>
      </w:pPr>
    </w:p>
    <w:p w:rsidR="00B20B2E" w:rsidRPr="00B20B2E" w:rsidRDefault="00B20B2E" w:rsidP="00722B7E">
      <w:pPr>
        <w:jc w:val="both"/>
        <w:rPr>
          <w:rFonts w:ascii="Arial" w:hAnsi="Arial" w:cs="Arial"/>
          <w:u w:val="single"/>
        </w:rPr>
      </w:pPr>
      <w:r>
        <w:rPr>
          <w:rFonts w:ascii="Arial" w:hAnsi="Arial" w:cs="Arial"/>
          <w:u w:val="single"/>
        </w:rPr>
        <w:t>Possible Implications for the Stewardship of Biotechnology</w:t>
      </w:r>
    </w:p>
    <w:p w:rsidR="00B20B2E" w:rsidRDefault="00B20B2E" w:rsidP="00722B7E">
      <w:pPr>
        <w:jc w:val="both"/>
        <w:rPr>
          <w:rFonts w:ascii="Arial" w:hAnsi="Arial" w:cs="Arial"/>
        </w:rPr>
      </w:pPr>
    </w:p>
    <w:p w:rsidR="001C2EA9" w:rsidRDefault="001C2EA9" w:rsidP="00722B7E">
      <w:pPr>
        <w:jc w:val="both"/>
        <w:rPr>
          <w:rFonts w:ascii="Arial" w:hAnsi="Arial" w:cs="Arial"/>
        </w:rPr>
      </w:pPr>
      <w:r>
        <w:rPr>
          <w:rFonts w:ascii="Arial" w:hAnsi="Arial" w:cs="Arial"/>
        </w:rPr>
        <w:t>These cases show how real institutions have managed to accommodate, and often to stimulate, new technologies in th</w:t>
      </w:r>
      <w:r w:rsidR="00091181">
        <w:rPr>
          <w:rFonts w:ascii="Arial" w:hAnsi="Arial" w:cs="Arial"/>
        </w:rPr>
        <w:t xml:space="preserve">e furtherance of public safety and other </w:t>
      </w:r>
      <w:r w:rsidR="001258E5">
        <w:rPr>
          <w:rFonts w:ascii="Arial" w:hAnsi="Arial" w:cs="Arial"/>
        </w:rPr>
        <w:t xml:space="preserve">national </w:t>
      </w:r>
      <w:proofErr w:type="spellStart"/>
      <w:r w:rsidR="001258E5">
        <w:rPr>
          <w:rFonts w:ascii="Arial" w:hAnsi="Arial" w:cs="Arial"/>
        </w:rPr>
        <w:t>pjurposes</w:t>
      </w:r>
      <w:proofErr w:type="spellEnd"/>
      <w:r>
        <w:rPr>
          <w:rFonts w:ascii="Arial" w:hAnsi="Arial" w:cs="Arial"/>
        </w:rPr>
        <w:t>.  They demonstrate</w:t>
      </w:r>
      <w:r w:rsidR="00DD1513">
        <w:rPr>
          <w:rFonts w:ascii="Arial" w:hAnsi="Arial" w:cs="Arial"/>
        </w:rPr>
        <w:t xml:space="preserve"> an ability to learn, over time, about </w:t>
      </w:r>
      <w:r w:rsidR="001258E5">
        <w:rPr>
          <w:rFonts w:ascii="Arial" w:hAnsi="Arial" w:cs="Arial"/>
        </w:rPr>
        <w:t xml:space="preserve">causal </w:t>
      </w:r>
      <w:r w:rsidR="00DD1513">
        <w:rPr>
          <w:rFonts w:ascii="Arial" w:hAnsi="Arial" w:cs="Arial"/>
        </w:rPr>
        <w:t>f</w:t>
      </w:r>
      <w:r w:rsidR="001258E5">
        <w:rPr>
          <w:rFonts w:ascii="Arial" w:hAnsi="Arial" w:cs="Arial"/>
        </w:rPr>
        <w:t>actors that were not appreciated</w:t>
      </w:r>
      <w:r w:rsidR="00DD1513">
        <w:rPr>
          <w:rFonts w:ascii="Arial" w:hAnsi="Arial" w:cs="Arial"/>
        </w:rPr>
        <w:t xml:space="preserve"> at the outset.</w:t>
      </w:r>
    </w:p>
    <w:p w:rsidR="001C2EA9" w:rsidRDefault="00091181" w:rsidP="00722B7E">
      <w:pPr>
        <w:jc w:val="both"/>
        <w:rPr>
          <w:rFonts w:ascii="Arial" w:hAnsi="Arial" w:cs="Arial"/>
        </w:rPr>
      </w:pPr>
      <w:r>
        <w:rPr>
          <w:rFonts w:ascii="Arial" w:hAnsi="Arial" w:cs="Arial"/>
        </w:rPr>
        <w:t xml:space="preserve">Can </w:t>
      </w:r>
      <w:r w:rsidR="001C2EA9">
        <w:rPr>
          <w:rFonts w:ascii="Arial" w:hAnsi="Arial" w:cs="Arial"/>
        </w:rPr>
        <w:t>contemporary biotechnology</w:t>
      </w:r>
      <w:r>
        <w:rPr>
          <w:rFonts w:ascii="Arial" w:hAnsi="Arial" w:cs="Arial"/>
        </w:rPr>
        <w:t xml:space="preserve"> adopt some </w:t>
      </w:r>
      <w:r w:rsidR="001258E5">
        <w:rPr>
          <w:rFonts w:ascii="Arial" w:hAnsi="Arial" w:cs="Arial"/>
        </w:rPr>
        <w:t xml:space="preserve">new version </w:t>
      </w:r>
      <w:r>
        <w:rPr>
          <w:rFonts w:ascii="Arial" w:hAnsi="Arial" w:cs="Arial"/>
        </w:rPr>
        <w:t xml:space="preserve">of the </w:t>
      </w:r>
      <w:r w:rsidR="001258E5">
        <w:rPr>
          <w:rFonts w:ascii="Arial" w:hAnsi="Arial" w:cs="Arial"/>
        </w:rPr>
        <w:t xml:space="preserve">institutional </w:t>
      </w:r>
      <w:r>
        <w:rPr>
          <w:rFonts w:ascii="Arial" w:hAnsi="Arial" w:cs="Arial"/>
        </w:rPr>
        <w:t>measures that are found in these instances?</w:t>
      </w:r>
      <w:r w:rsidR="001C2EA9">
        <w:rPr>
          <w:rFonts w:ascii="Arial" w:hAnsi="Arial" w:cs="Arial"/>
        </w:rPr>
        <w:t xml:space="preserve"> </w:t>
      </w:r>
      <w:r>
        <w:rPr>
          <w:rFonts w:ascii="Arial" w:hAnsi="Arial" w:cs="Arial"/>
        </w:rPr>
        <w:t xml:space="preserve">Some </w:t>
      </w:r>
      <w:r w:rsidR="00953017">
        <w:rPr>
          <w:rFonts w:ascii="Arial" w:hAnsi="Arial" w:cs="Arial"/>
        </w:rPr>
        <w:t xml:space="preserve">general </w:t>
      </w:r>
      <w:r>
        <w:rPr>
          <w:rFonts w:ascii="Arial" w:hAnsi="Arial" w:cs="Arial"/>
        </w:rPr>
        <w:t>points to consider:</w:t>
      </w:r>
    </w:p>
    <w:p w:rsidR="00A556EF" w:rsidRDefault="00A556EF" w:rsidP="00722B7E">
      <w:pPr>
        <w:jc w:val="both"/>
        <w:rPr>
          <w:rFonts w:ascii="Arial" w:hAnsi="Arial" w:cs="Arial"/>
        </w:rPr>
      </w:pPr>
    </w:p>
    <w:p w:rsidR="00091181" w:rsidRDefault="00091181" w:rsidP="00091181">
      <w:pPr>
        <w:pStyle w:val="ListParagraph"/>
        <w:numPr>
          <w:ilvl w:val="0"/>
          <w:numId w:val="1"/>
        </w:numPr>
        <w:jc w:val="both"/>
        <w:rPr>
          <w:rFonts w:ascii="Arial" w:hAnsi="Arial" w:cs="Arial"/>
        </w:rPr>
      </w:pPr>
      <w:r>
        <w:rPr>
          <w:rFonts w:ascii="Arial" w:hAnsi="Arial" w:cs="Arial"/>
        </w:rPr>
        <w:t xml:space="preserve">Nongovernmental entities are central to several of the cases: </w:t>
      </w:r>
      <w:r w:rsidR="00130560">
        <w:rPr>
          <w:rFonts w:ascii="Arial" w:hAnsi="Arial" w:cs="Arial"/>
        </w:rPr>
        <w:t>Unilateral action by government is not the only way to ensure continuing progress.</w:t>
      </w:r>
    </w:p>
    <w:p w:rsidR="00130560" w:rsidRDefault="00130560" w:rsidP="00130560">
      <w:pPr>
        <w:pStyle w:val="ListParagraph"/>
        <w:jc w:val="both"/>
        <w:rPr>
          <w:rFonts w:ascii="Arial" w:hAnsi="Arial" w:cs="Arial"/>
        </w:rPr>
      </w:pPr>
    </w:p>
    <w:p w:rsidR="00130560" w:rsidRPr="006040F2" w:rsidRDefault="006040F2" w:rsidP="00E4793B">
      <w:pPr>
        <w:pStyle w:val="ListParagraph"/>
        <w:numPr>
          <w:ilvl w:val="0"/>
          <w:numId w:val="1"/>
        </w:numPr>
        <w:jc w:val="both"/>
        <w:rPr>
          <w:rFonts w:ascii="Arial" w:hAnsi="Arial" w:cs="Arial"/>
        </w:rPr>
      </w:pPr>
      <w:r w:rsidRPr="006040F2">
        <w:rPr>
          <w:rFonts w:ascii="Arial" w:hAnsi="Arial" w:cs="Arial"/>
        </w:rPr>
        <w:t>While the recurring</w:t>
      </w:r>
      <w:r w:rsidR="00130560" w:rsidRPr="006040F2">
        <w:rPr>
          <w:rFonts w:ascii="Arial" w:hAnsi="Arial" w:cs="Arial"/>
        </w:rPr>
        <w:t xml:space="preserve"> </w:t>
      </w:r>
      <w:r w:rsidRPr="006040F2">
        <w:rPr>
          <w:rFonts w:ascii="Arial" w:hAnsi="Arial" w:cs="Arial"/>
        </w:rPr>
        <w:t xml:space="preserve">(often </w:t>
      </w:r>
      <w:r w:rsidR="00130560" w:rsidRPr="006040F2">
        <w:rPr>
          <w:rFonts w:ascii="Arial" w:hAnsi="Arial" w:cs="Arial"/>
        </w:rPr>
        <w:t>five-year</w:t>
      </w:r>
      <w:r w:rsidRPr="006040F2">
        <w:rPr>
          <w:rFonts w:ascii="Arial" w:hAnsi="Arial" w:cs="Arial"/>
        </w:rPr>
        <w:t>)</w:t>
      </w:r>
      <w:r w:rsidR="00130560" w:rsidRPr="006040F2">
        <w:rPr>
          <w:rFonts w:ascii="Arial" w:hAnsi="Arial" w:cs="Arial"/>
        </w:rPr>
        <w:t xml:space="preserve"> reviews are one mechanism for planning for future adaptations, it is not the only one that works.  Event-based revi</w:t>
      </w:r>
      <w:r w:rsidR="001258E5">
        <w:rPr>
          <w:rFonts w:ascii="Arial" w:hAnsi="Arial" w:cs="Arial"/>
        </w:rPr>
        <w:t>ews are</w:t>
      </w:r>
      <w:r w:rsidR="00130560" w:rsidRPr="006040F2">
        <w:rPr>
          <w:rFonts w:ascii="Arial" w:hAnsi="Arial" w:cs="Arial"/>
        </w:rPr>
        <w:t xml:space="preserve"> effective for airliner safety, and independent crash-testing has been important </w:t>
      </w:r>
      <w:r w:rsidR="00983DAF">
        <w:rPr>
          <w:rFonts w:ascii="Arial" w:hAnsi="Arial" w:cs="Arial"/>
        </w:rPr>
        <w:t>contributor to</w:t>
      </w:r>
      <w:r w:rsidR="00130560" w:rsidRPr="006040F2">
        <w:rPr>
          <w:rFonts w:ascii="Arial" w:hAnsi="Arial" w:cs="Arial"/>
        </w:rPr>
        <w:t xml:space="preserve"> </w:t>
      </w:r>
      <w:r w:rsidRPr="006040F2">
        <w:rPr>
          <w:rFonts w:ascii="Arial" w:hAnsi="Arial" w:cs="Arial"/>
        </w:rPr>
        <w:t xml:space="preserve">improved </w:t>
      </w:r>
      <w:r w:rsidR="00130560" w:rsidRPr="006040F2">
        <w:rPr>
          <w:rFonts w:ascii="Arial" w:hAnsi="Arial" w:cs="Arial"/>
        </w:rPr>
        <w:t>highway safety</w:t>
      </w:r>
      <w:r w:rsidR="00983DAF">
        <w:rPr>
          <w:rFonts w:ascii="Arial" w:hAnsi="Arial" w:cs="Arial"/>
        </w:rPr>
        <w:t>.</w:t>
      </w:r>
    </w:p>
    <w:p w:rsidR="00130560" w:rsidRDefault="00130560" w:rsidP="00130560">
      <w:pPr>
        <w:pStyle w:val="ListParagraph"/>
        <w:jc w:val="both"/>
        <w:rPr>
          <w:rFonts w:ascii="Arial" w:hAnsi="Arial" w:cs="Arial"/>
        </w:rPr>
      </w:pPr>
    </w:p>
    <w:p w:rsidR="00130560" w:rsidRDefault="008544AB" w:rsidP="00091181">
      <w:pPr>
        <w:pStyle w:val="ListParagraph"/>
        <w:numPr>
          <w:ilvl w:val="0"/>
          <w:numId w:val="1"/>
        </w:numPr>
        <w:jc w:val="both"/>
        <w:rPr>
          <w:rFonts w:ascii="Arial" w:hAnsi="Arial" w:cs="Arial"/>
        </w:rPr>
      </w:pPr>
      <w:r>
        <w:rPr>
          <w:rFonts w:ascii="Arial" w:hAnsi="Arial" w:cs="Arial"/>
        </w:rPr>
        <w:t>The deliberate s</w:t>
      </w:r>
      <w:r w:rsidR="00130560">
        <w:rPr>
          <w:rFonts w:ascii="Arial" w:hAnsi="Arial" w:cs="Arial"/>
        </w:rPr>
        <w:t>eparati</w:t>
      </w:r>
      <w:r>
        <w:rPr>
          <w:rFonts w:ascii="Arial" w:hAnsi="Arial" w:cs="Arial"/>
        </w:rPr>
        <w:t>on of risk assessors</w:t>
      </w:r>
      <w:r w:rsidR="00130560">
        <w:rPr>
          <w:rFonts w:ascii="Arial" w:hAnsi="Arial" w:cs="Arial"/>
        </w:rPr>
        <w:t xml:space="preserve"> from risk manage</w:t>
      </w:r>
      <w:r>
        <w:rPr>
          <w:rFonts w:ascii="Arial" w:hAnsi="Arial" w:cs="Arial"/>
        </w:rPr>
        <w:t>rs</w:t>
      </w:r>
      <w:r w:rsidR="00983DAF">
        <w:rPr>
          <w:rFonts w:ascii="Arial" w:hAnsi="Arial" w:cs="Arial"/>
        </w:rPr>
        <w:t xml:space="preserve"> seems to be one organizational tendency</w:t>
      </w:r>
      <w:r w:rsidR="00130560">
        <w:rPr>
          <w:rFonts w:ascii="Arial" w:hAnsi="Arial" w:cs="Arial"/>
        </w:rPr>
        <w:t xml:space="preserve">:  </w:t>
      </w:r>
      <w:r w:rsidR="0099074E">
        <w:rPr>
          <w:rFonts w:ascii="Arial" w:hAnsi="Arial" w:cs="Arial"/>
        </w:rPr>
        <w:t>To take two examples, the NTSB operates independently from</w:t>
      </w:r>
      <w:r w:rsidR="00130560">
        <w:rPr>
          <w:rFonts w:ascii="Arial" w:hAnsi="Arial" w:cs="Arial"/>
        </w:rPr>
        <w:t xml:space="preserve"> </w:t>
      </w:r>
      <w:r w:rsidR="0099074E">
        <w:rPr>
          <w:rFonts w:ascii="Arial" w:hAnsi="Arial" w:cs="Arial"/>
        </w:rPr>
        <w:t xml:space="preserve">the </w:t>
      </w:r>
      <w:r w:rsidR="00983DAF">
        <w:rPr>
          <w:rFonts w:ascii="Arial" w:hAnsi="Arial" w:cs="Arial"/>
        </w:rPr>
        <w:t xml:space="preserve">powerful </w:t>
      </w:r>
      <w:r w:rsidR="0099074E">
        <w:rPr>
          <w:rFonts w:ascii="Arial" w:hAnsi="Arial" w:cs="Arial"/>
        </w:rPr>
        <w:t xml:space="preserve">Department of Transportation, </w:t>
      </w:r>
      <w:r w:rsidR="00983DAF">
        <w:rPr>
          <w:rFonts w:ascii="Arial" w:hAnsi="Arial" w:cs="Arial"/>
        </w:rPr>
        <w:t xml:space="preserve">protecting its investigatory integrity, </w:t>
      </w:r>
      <w:r w:rsidR="0099074E">
        <w:rPr>
          <w:rFonts w:ascii="Arial" w:hAnsi="Arial" w:cs="Arial"/>
        </w:rPr>
        <w:t xml:space="preserve">and the IETF is </w:t>
      </w:r>
      <w:r w:rsidR="00983DAF">
        <w:rPr>
          <w:rFonts w:ascii="Arial" w:hAnsi="Arial" w:cs="Arial"/>
        </w:rPr>
        <w:t xml:space="preserve">plainly </w:t>
      </w:r>
      <w:r w:rsidR="0099074E">
        <w:rPr>
          <w:rFonts w:ascii="Arial" w:hAnsi="Arial" w:cs="Arial"/>
        </w:rPr>
        <w:t xml:space="preserve">built to ensure technical expertise, </w:t>
      </w:r>
      <w:r w:rsidR="00983DAF">
        <w:rPr>
          <w:rFonts w:ascii="Arial" w:hAnsi="Arial" w:cs="Arial"/>
        </w:rPr>
        <w:t xml:space="preserve">and operate at a distance from </w:t>
      </w:r>
      <w:r w:rsidR="0099074E">
        <w:rPr>
          <w:rFonts w:ascii="Arial" w:hAnsi="Arial" w:cs="Arial"/>
        </w:rPr>
        <w:t xml:space="preserve">political </w:t>
      </w:r>
      <w:r w:rsidR="00983DAF">
        <w:rPr>
          <w:rFonts w:ascii="Arial" w:hAnsi="Arial" w:cs="Arial"/>
        </w:rPr>
        <w:t>sway and</w:t>
      </w:r>
      <w:r w:rsidR="0099074E">
        <w:rPr>
          <w:rFonts w:ascii="Arial" w:hAnsi="Arial" w:cs="Arial"/>
        </w:rPr>
        <w:t xml:space="preserve"> </w:t>
      </w:r>
      <w:r w:rsidR="008A04C8">
        <w:rPr>
          <w:rFonts w:ascii="Arial" w:hAnsi="Arial" w:cs="Arial"/>
        </w:rPr>
        <w:t xml:space="preserve">from </w:t>
      </w:r>
      <w:r w:rsidR="00BE030E">
        <w:rPr>
          <w:rFonts w:ascii="Arial" w:hAnsi="Arial" w:cs="Arial"/>
        </w:rPr>
        <w:t xml:space="preserve">self-interested </w:t>
      </w:r>
      <w:r w:rsidR="0099074E">
        <w:rPr>
          <w:rFonts w:ascii="Arial" w:hAnsi="Arial" w:cs="Arial"/>
        </w:rPr>
        <w:t xml:space="preserve">market power.  There appears to be </w:t>
      </w:r>
      <w:r w:rsidR="006040F2">
        <w:rPr>
          <w:rFonts w:ascii="Arial" w:hAnsi="Arial" w:cs="Arial"/>
        </w:rPr>
        <w:t xml:space="preserve">some </w:t>
      </w:r>
      <w:r w:rsidR="0099074E">
        <w:rPr>
          <w:rFonts w:ascii="Arial" w:hAnsi="Arial" w:cs="Arial"/>
        </w:rPr>
        <w:t xml:space="preserve">value in isolating the knowledge assessors from both public and private </w:t>
      </w:r>
      <w:r>
        <w:rPr>
          <w:rFonts w:ascii="Arial" w:hAnsi="Arial" w:cs="Arial"/>
        </w:rPr>
        <w:t xml:space="preserve">material </w:t>
      </w:r>
      <w:r w:rsidR="0099074E">
        <w:rPr>
          <w:rFonts w:ascii="Arial" w:hAnsi="Arial" w:cs="Arial"/>
        </w:rPr>
        <w:t>interests until t</w:t>
      </w:r>
      <w:r>
        <w:rPr>
          <w:rFonts w:ascii="Arial" w:hAnsi="Arial" w:cs="Arial"/>
        </w:rPr>
        <w:t>he risk assessment phase is settled</w:t>
      </w:r>
      <w:r w:rsidR="00983DAF">
        <w:rPr>
          <w:rFonts w:ascii="Arial" w:hAnsi="Arial" w:cs="Arial"/>
        </w:rPr>
        <w:t xml:space="preserve"> by professional risk analysts</w:t>
      </w:r>
      <w:r w:rsidR="0099074E">
        <w:rPr>
          <w:rFonts w:ascii="Arial" w:hAnsi="Arial" w:cs="Arial"/>
        </w:rPr>
        <w:t xml:space="preserve">. </w:t>
      </w:r>
      <w:r w:rsidR="00130560">
        <w:rPr>
          <w:rFonts w:ascii="Arial" w:hAnsi="Arial" w:cs="Arial"/>
        </w:rPr>
        <w:t xml:space="preserve"> </w:t>
      </w:r>
    </w:p>
    <w:sectPr w:rsidR="00130560" w:rsidSect="00A556EF">
      <w:footerReference w:type="default" r:id="rId9"/>
      <w:endnotePr>
        <w:numFmt w:val="decimal"/>
      </w:endnotePr>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DB3" w:rsidRDefault="006E2DB3" w:rsidP="00B77517">
      <w:pPr>
        <w:spacing w:after="0" w:line="240" w:lineRule="auto"/>
      </w:pPr>
      <w:r>
        <w:separator/>
      </w:r>
    </w:p>
  </w:endnote>
  <w:endnote w:type="continuationSeparator" w:id="0">
    <w:p w:rsidR="006E2DB3" w:rsidRDefault="006E2DB3" w:rsidP="00B77517">
      <w:pPr>
        <w:spacing w:after="0" w:line="240" w:lineRule="auto"/>
      </w:pPr>
      <w:r>
        <w:continuationSeparator/>
      </w:r>
    </w:p>
  </w:endnote>
  <w:endnote w:id="1">
    <w:p w:rsidR="00473EEB" w:rsidRDefault="005802B1">
      <w:pPr>
        <w:pStyle w:val="EndnoteText"/>
      </w:pPr>
      <w:r>
        <w:rPr>
          <w:rStyle w:val="EndnoteReference"/>
        </w:rPr>
        <w:endnoteRef/>
      </w:r>
      <w:r>
        <w:t xml:space="preserve"> One early exposition of Planned Adaptation is found in L. McCray, K. Oye and a. Peterson, “</w:t>
      </w:r>
      <w:r w:rsidR="00766CAD">
        <w:t>Planned A</w:t>
      </w:r>
      <w:r>
        <w:t>daptation in Risk R</w:t>
      </w:r>
      <w:r w:rsidRPr="005802B1">
        <w:t>eg</w:t>
      </w:r>
      <w:r>
        <w:t xml:space="preserve">ulation: An Initial Survey of US Environmental, Health, and Safety </w:t>
      </w:r>
      <w:r w:rsidRPr="005802B1">
        <w:t>Regulation</w:t>
      </w:r>
      <w:r>
        <w:t xml:space="preserve">, </w:t>
      </w:r>
      <w:r w:rsidRPr="005802B1">
        <w:rPr>
          <w:u w:val="single"/>
        </w:rPr>
        <w:t>Technological Forecasting and Social Change</w:t>
      </w:r>
      <w:r w:rsidRPr="005802B1">
        <w:t>, vol.</w:t>
      </w:r>
      <w:r>
        <w:t xml:space="preserve"> </w:t>
      </w:r>
      <w:r w:rsidRPr="005802B1">
        <w:t>77</w:t>
      </w:r>
      <w:r>
        <w:t>, no. 6 (July 2010): 951–959.</w:t>
      </w:r>
      <w:r w:rsidR="00766CAD">
        <w:t xml:space="preserve">  Administrative law scholars </w:t>
      </w:r>
      <w:r w:rsidR="00473EEB">
        <w:t xml:space="preserve">have used the term “lookback </w:t>
      </w:r>
      <w:proofErr w:type="gramStart"/>
      <w:r w:rsidR="00473EEB">
        <w:t>regulations‘ to</w:t>
      </w:r>
      <w:proofErr w:type="gramEnd"/>
      <w:r w:rsidR="00473EEB">
        <w:t xml:space="preserve"> reflect</w:t>
      </w:r>
      <w:r w:rsidR="00766CAD">
        <w:t xml:space="preserve"> similar ends; </w:t>
      </w:r>
      <w:r w:rsidR="00D94E4A">
        <w:t xml:space="preserve">and </w:t>
      </w:r>
      <w:r w:rsidR="00766CAD">
        <w:t xml:space="preserve">recently the Duke Law School’s Center for Innovation Policy introduced a series of “Laws That Learn” seminars along similar lines.  </w:t>
      </w:r>
      <w:r w:rsidR="00D94E4A">
        <w:t xml:space="preserve">For a recent international conference on adaptive regulation, see </w:t>
      </w:r>
      <w:hyperlink r:id="rId1" w:history="1">
        <w:r w:rsidR="00D94E4A" w:rsidRPr="00594872">
          <w:rPr>
            <w:rStyle w:val="Hyperlink"/>
          </w:rPr>
          <w:t>http://www.irgc.org/event/planning-adaptive-risk-regulation/</w:t>
        </w:r>
      </w:hyperlink>
      <w:r w:rsidR="00D94E4A">
        <w:t xml:space="preserve">. </w:t>
      </w:r>
    </w:p>
  </w:endnote>
  <w:endnote w:id="2">
    <w:p w:rsidR="00B77517" w:rsidRPr="00307D50" w:rsidRDefault="00B77517">
      <w:pPr>
        <w:pStyle w:val="EndnoteText"/>
      </w:pPr>
      <w:r>
        <w:rPr>
          <w:rStyle w:val="EndnoteReference"/>
        </w:rPr>
        <w:endnoteRef/>
      </w:r>
      <w:r>
        <w:t xml:space="preserve"> A. L. Russell, “OSI: The Internet that Wasn’t,” </w:t>
      </w:r>
      <w:r>
        <w:rPr>
          <w:i/>
        </w:rPr>
        <w:t>IEEE Spectrum</w:t>
      </w:r>
      <w:r w:rsidR="00307D50">
        <w:t>, June 30, 2013.</w:t>
      </w:r>
    </w:p>
  </w:endnote>
  <w:endnote w:id="3">
    <w:p w:rsidR="006B32D0" w:rsidRPr="006B32D0" w:rsidRDefault="006B32D0">
      <w:pPr>
        <w:pStyle w:val="EndnoteText"/>
      </w:pPr>
      <w:r>
        <w:rPr>
          <w:rStyle w:val="EndnoteReference"/>
        </w:rPr>
        <w:endnoteRef/>
      </w:r>
      <w:r>
        <w:t xml:space="preserve"> </w:t>
      </w:r>
      <w:proofErr w:type="spellStart"/>
      <w:r>
        <w:t>Sweetman</w:t>
      </w:r>
      <w:proofErr w:type="spellEnd"/>
      <w:r>
        <w:t xml:space="preserve"> and Washington, “Staying Alive,” </w:t>
      </w:r>
      <w:r>
        <w:rPr>
          <w:i/>
        </w:rPr>
        <w:t>Aviation Week</w:t>
      </w:r>
      <w:r>
        <w:t>, January 2016, pp 46-51.</w:t>
      </w:r>
    </w:p>
  </w:endnote>
  <w:endnote w:id="4">
    <w:p w:rsidR="006B32D0" w:rsidRDefault="006B32D0">
      <w:pPr>
        <w:pStyle w:val="EndnoteText"/>
      </w:pPr>
      <w:r>
        <w:rPr>
          <w:rStyle w:val="EndnoteReference"/>
        </w:rPr>
        <w:endnoteRef/>
      </w:r>
      <w:r>
        <w:t xml:space="preserve"> </w:t>
      </w:r>
      <w:hyperlink r:id="rId2" w:history="1">
        <w:r w:rsidR="00A22FA8" w:rsidRPr="00594872">
          <w:rPr>
            <w:rStyle w:val="Hyperlink"/>
          </w:rPr>
          <w:t>https://www.faa.gov/news/fact_sheets/news_story.cfm?newsId=11186</w:t>
        </w:r>
      </w:hyperlink>
      <w:r w:rsidR="00A22FA8">
        <w:t xml:space="preserve">. </w:t>
      </w:r>
    </w:p>
  </w:endnote>
  <w:endnote w:id="5">
    <w:p w:rsidR="00556496" w:rsidRDefault="00556496">
      <w:pPr>
        <w:pStyle w:val="EndnoteText"/>
      </w:pPr>
      <w:r>
        <w:rPr>
          <w:rStyle w:val="EndnoteReference"/>
        </w:rPr>
        <w:endnoteRef/>
      </w:r>
      <w:r>
        <w:t xml:space="preserve"> See </w:t>
      </w:r>
      <w:hyperlink r:id="rId3" w:history="1">
        <w:r w:rsidRPr="00594872">
          <w:rPr>
            <w:rStyle w:val="Hyperlink"/>
          </w:rPr>
          <w:t>http://www.ntsb.gov/safety/mwl/Pages/default.aspx</w:t>
        </w:r>
      </w:hyperlink>
      <w:r>
        <w:t xml:space="preserve">. </w:t>
      </w:r>
    </w:p>
  </w:endnote>
  <w:endnote w:id="6">
    <w:p w:rsidR="004D3D4D" w:rsidRPr="004D3D4D" w:rsidRDefault="004D3D4D">
      <w:pPr>
        <w:pStyle w:val="EndnoteText"/>
      </w:pPr>
      <w:r>
        <w:rPr>
          <w:rStyle w:val="EndnoteReference"/>
        </w:rPr>
        <w:endnoteRef/>
      </w:r>
      <w:r>
        <w:t xml:space="preserve"> “Saving Lives: Improved Vehicle Designs Bring </w:t>
      </w:r>
      <w:proofErr w:type="gramStart"/>
      <w:r>
        <w:t>Down</w:t>
      </w:r>
      <w:proofErr w:type="gramEnd"/>
      <w:r>
        <w:t xml:space="preserve"> Death Rates,” IIHS </w:t>
      </w:r>
      <w:r>
        <w:rPr>
          <w:i/>
        </w:rPr>
        <w:t xml:space="preserve">Status Report, </w:t>
      </w:r>
      <w:r>
        <w:t>Volume 50, no.1 (January 2015).</w:t>
      </w:r>
    </w:p>
  </w:endnote>
  <w:endnote w:id="7">
    <w:p w:rsidR="004D3D4D" w:rsidRDefault="004D3D4D">
      <w:pPr>
        <w:pStyle w:val="EndnoteText"/>
      </w:pPr>
      <w:r>
        <w:rPr>
          <w:rStyle w:val="EndnoteReference"/>
        </w:rPr>
        <w:endnoteRef/>
      </w:r>
      <w:r>
        <w:t xml:space="preserve"> Ibid.</w:t>
      </w:r>
    </w:p>
  </w:endnote>
  <w:endnote w:id="8">
    <w:p w:rsidR="004658A4" w:rsidRPr="004D3D4D" w:rsidRDefault="004658A4">
      <w:pPr>
        <w:pStyle w:val="EndnoteText"/>
      </w:pPr>
      <w:r>
        <w:rPr>
          <w:rStyle w:val="EndnoteReference"/>
        </w:rPr>
        <w:endnoteRef/>
      </w:r>
      <w:r w:rsidRPr="006040F2">
        <w:rPr>
          <w:sz w:val="18"/>
          <w:szCs w:val="18"/>
        </w:rPr>
        <w:t xml:space="preserve"> </w:t>
      </w:r>
      <w:hyperlink r:id="rId4" w:history="1">
        <w:r w:rsidRPr="006040F2">
          <w:rPr>
            <w:rStyle w:val="Hyperlink"/>
            <w:rFonts w:ascii="Arial" w:hAnsi="Arial" w:cs="Arial"/>
            <w:sz w:val="18"/>
            <w:szCs w:val="18"/>
          </w:rPr>
          <w:t>www.deltawerken.com/Deltaworks/</w:t>
        </w:r>
      </w:hyperlink>
    </w:p>
  </w:endnote>
  <w:endnote w:id="9">
    <w:p w:rsidR="00F63594" w:rsidRPr="00F63594" w:rsidRDefault="00F63594">
      <w:pPr>
        <w:pStyle w:val="EndnoteText"/>
      </w:pPr>
      <w:r>
        <w:rPr>
          <w:rStyle w:val="EndnoteReference"/>
        </w:rPr>
        <w:endnoteRef/>
      </w:r>
      <w:r>
        <w:t xml:space="preserve"> M. Ahrens, </w:t>
      </w:r>
      <w:r>
        <w:rPr>
          <w:u w:val="single"/>
        </w:rPr>
        <w:t>Trends and Patterns of U.S. Fire Loss</w:t>
      </w:r>
      <w:r>
        <w:t xml:space="preserve"> (National Fire Protection Association, February 2016), page</w:t>
      </w:r>
      <w:r w:rsidR="00A556EF">
        <w:t xml:space="preserve">s 1 and </w:t>
      </w:r>
      <w:r>
        <w:t>3.</w:t>
      </w:r>
    </w:p>
  </w:endnote>
  <w:endnote w:id="10">
    <w:p w:rsidR="00F63594" w:rsidRDefault="00F63594">
      <w:pPr>
        <w:pStyle w:val="EndnoteText"/>
      </w:pPr>
      <w:r>
        <w:rPr>
          <w:rStyle w:val="EndnoteReference"/>
        </w:rPr>
        <w:endnoteRef/>
      </w:r>
      <w:r>
        <w:t xml:space="preserve"> Ibid, page 9.</w:t>
      </w:r>
    </w:p>
  </w:endnote>
  <w:endnote w:id="11">
    <w:p w:rsidR="00E143CF" w:rsidRDefault="00E143CF">
      <w:pPr>
        <w:pStyle w:val="EndnoteText"/>
      </w:pPr>
      <w:r>
        <w:rPr>
          <w:rStyle w:val="EndnoteReference"/>
        </w:rPr>
        <w:endnoteRef/>
      </w:r>
      <w:r>
        <w:t xml:space="preserve"> </w:t>
      </w:r>
      <w:proofErr w:type="gramStart"/>
      <w:r w:rsidR="00983DAF">
        <w:t>Personal i</w:t>
      </w:r>
      <w:r>
        <w:t>nterviews, 2009.</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478668"/>
      <w:docPartObj>
        <w:docPartGallery w:val="Page Numbers (Bottom of Page)"/>
        <w:docPartUnique/>
      </w:docPartObj>
    </w:sdtPr>
    <w:sdtEndPr>
      <w:rPr>
        <w:noProof/>
      </w:rPr>
    </w:sdtEndPr>
    <w:sdtContent>
      <w:p w:rsidR="00556496" w:rsidRDefault="00556496">
        <w:pPr>
          <w:pStyle w:val="Footer"/>
          <w:jc w:val="center"/>
        </w:pPr>
        <w:r>
          <w:fldChar w:fldCharType="begin"/>
        </w:r>
        <w:r>
          <w:instrText xml:space="preserve"> PAGE   \* MERGEFORMAT </w:instrText>
        </w:r>
        <w:r>
          <w:fldChar w:fldCharType="separate"/>
        </w:r>
        <w:r w:rsidR="00622788">
          <w:rPr>
            <w:noProof/>
          </w:rPr>
          <w:t>1</w:t>
        </w:r>
        <w:r>
          <w:rPr>
            <w:noProof/>
          </w:rPr>
          <w:fldChar w:fldCharType="end"/>
        </w:r>
      </w:p>
    </w:sdtContent>
  </w:sdt>
  <w:p w:rsidR="00556496" w:rsidRDefault="005564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DB3" w:rsidRDefault="006E2DB3" w:rsidP="00B77517">
      <w:pPr>
        <w:spacing w:after="0" w:line="240" w:lineRule="auto"/>
      </w:pPr>
      <w:r>
        <w:separator/>
      </w:r>
    </w:p>
  </w:footnote>
  <w:footnote w:type="continuationSeparator" w:id="0">
    <w:p w:rsidR="006E2DB3" w:rsidRDefault="006E2DB3" w:rsidP="00B775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22D28"/>
    <w:multiLevelType w:val="hybridMultilevel"/>
    <w:tmpl w:val="07A45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19"/>
    <w:rsid w:val="00006A08"/>
    <w:rsid w:val="00091181"/>
    <w:rsid w:val="001258E5"/>
    <w:rsid w:val="00130560"/>
    <w:rsid w:val="001351E2"/>
    <w:rsid w:val="001C2EA9"/>
    <w:rsid w:val="001D05D7"/>
    <w:rsid w:val="001F6969"/>
    <w:rsid w:val="00307D50"/>
    <w:rsid w:val="00392147"/>
    <w:rsid w:val="004658A4"/>
    <w:rsid w:val="00473EEB"/>
    <w:rsid w:val="004D3D4D"/>
    <w:rsid w:val="00556496"/>
    <w:rsid w:val="005802B1"/>
    <w:rsid w:val="005A4A56"/>
    <w:rsid w:val="00600E39"/>
    <w:rsid w:val="006040F2"/>
    <w:rsid w:val="00622788"/>
    <w:rsid w:val="006628F3"/>
    <w:rsid w:val="006A2E19"/>
    <w:rsid w:val="006B32D0"/>
    <w:rsid w:val="006C1CC7"/>
    <w:rsid w:val="006E2DB3"/>
    <w:rsid w:val="006F53C2"/>
    <w:rsid w:val="00722B7E"/>
    <w:rsid w:val="007354F6"/>
    <w:rsid w:val="0075619F"/>
    <w:rsid w:val="00766CAD"/>
    <w:rsid w:val="00816A3F"/>
    <w:rsid w:val="008544AB"/>
    <w:rsid w:val="0085453D"/>
    <w:rsid w:val="008A04C8"/>
    <w:rsid w:val="008C1A09"/>
    <w:rsid w:val="008D471F"/>
    <w:rsid w:val="00913319"/>
    <w:rsid w:val="00953017"/>
    <w:rsid w:val="00983DAF"/>
    <w:rsid w:val="0099074E"/>
    <w:rsid w:val="009F3AB8"/>
    <w:rsid w:val="00A22FA8"/>
    <w:rsid w:val="00A45FF2"/>
    <w:rsid w:val="00A556EF"/>
    <w:rsid w:val="00A6540A"/>
    <w:rsid w:val="00A831FB"/>
    <w:rsid w:val="00A95BAB"/>
    <w:rsid w:val="00B11A41"/>
    <w:rsid w:val="00B20B2E"/>
    <w:rsid w:val="00B77517"/>
    <w:rsid w:val="00B81F94"/>
    <w:rsid w:val="00B93325"/>
    <w:rsid w:val="00BA2622"/>
    <w:rsid w:val="00BE030E"/>
    <w:rsid w:val="00C52F60"/>
    <w:rsid w:val="00C90E00"/>
    <w:rsid w:val="00D4622B"/>
    <w:rsid w:val="00D94E4A"/>
    <w:rsid w:val="00D96457"/>
    <w:rsid w:val="00DC0281"/>
    <w:rsid w:val="00DC32C3"/>
    <w:rsid w:val="00DD1513"/>
    <w:rsid w:val="00DD76E0"/>
    <w:rsid w:val="00E04B2A"/>
    <w:rsid w:val="00E143CF"/>
    <w:rsid w:val="00EF455E"/>
    <w:rsid w:val="00EF6280"/>
    <w:rsid w:val="00F63594"/>
    <w:rsid w:val="00F80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3D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22F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775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7517"/>
    <w:rPr>
      <w:sz w:val="20"/>
      <w:szCs w:val="20"/>
    </w:rPr>
  </w:style>
  <w:style w:type="character" w:styleId="EndnoteReference">
    <w:name w:val="endnote reference"/>
    <w:basedOn w:val="DefaultParagraphFont"/>
    <w:uiPriority w:val="99"/>
    <w:semiHidden/>
    <w:unhideWhenUsed/>
    <w:rsid w:val="00B77517"/>
    <w:rPr>
      <w:vertAlign w:val="superscript"/>
    </w:rPr>
  </w:style>
  <w:style w:type="character" w:styleId="Hyperlink">
    <w:name w:val="Hyperlink"/>
    <w:basedOn w:val="DefaultParagraphFont"/>
    <w:uiPriority w:val="99"/>
    <w:unhideWhenUsed/>
    <w:rsid w:val="004658A4"/>
    <w:rPr>
      <w:color w:val="0563C1" w:themeColor="hyperlink"/>
      <w:u w:val="single"/>
    </w:rPr>
  </w:style>
  <w:style w:type="character" w:customStyle="1" w:styleId="Heading2Char">
    <w:name w:val="Heading 2 Char"/>
    <w:basedOn w:val="DefaultParagraphFont"/>
    <w:link w:val="Heading2"/>
    <w:uiPriority w:val="9"/>
    <w:rsid w:val="00A22FA8"/>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A22FA8"/>
  </w:style>
  <w:style w:type="character" w:customStyle="1" w:styleId="highwire-citation-authors">
    <w:name w:val="highwire-citation-authors"/>
    <w:basedOn w:val="DefaultParagraphFont"/>
    <w:rsid w:val="00A22FA8"/>
  </w:style>
  <w:style w:type="character" w:customStyle="1" w:styleId="nlm-given-names">
    <w:name w:val="nlm-given-names"/>
    <w:basedOn w:val="DefaultParagraphFont"/>
    <w:rsid w:val="00A22FA8"/>
  </w:style>
  <w:style w:type="character" w:customStyle="1" w:styleId="nlm-surname">
    <w:name w:val="nlm-surname"/>
    <w:basedOn w:val="DefaultParagraphFont"/>
    <w:rsid w:val="00A22FA8"/>
  </w:style>
  <w:style w:type="character" w:customStyle="1" w:styleId="Heading1Char">
    <w:name w:val="Heading 1 Char"/>
    <w:basedOn w:val="DefaultParagraphFont"/>
    <w:link w:val="Heading1"/>
    <w:uiPriority w:val="9"/>
    <w:rsid w:val="004D3D4D"/>
    <w:rPr>
      <w:rFonts w:asciiTheme="majorHAnsi" w:eastAsiaTheme="majorEastAsia" w:hAnsiTheme="majorHAnsi" w:cstheme="majorBidi"/>
      <w:color w:val="2E74B5" w:themeColor="accent1" w:themeShade="BF"/>
      <w:sz w:val="32"/>
      <w:szCs w:val="32"/>
    </w:rPr>
  </w:style>
  <w:style w:type="character" w:customStyle="1" w:styleId="sr">
    <w:name w:val="sr"/>
    <w:basedOn w:val="DefaultParagraphFont"/>
    <w:rsid w:val="004D3D4D"/>
  </w:style>
  <w:style w:type="character" w:customStyle="1" w:styleId="sr-item-title">
    <w:name w:val="sr-item-title"/>
    <w:basedOn w:val="DefaultParagraphFont"/>
    <w:rsid w:val="004D3D4D"/>
  </w:style>
  <w:style w:type="character" w:customStyle="1" w:styleId="sr-item-subtitle">
    <w:name w:val="sr-item-subtitle"/>
    <w:basedOn w:val="DefaultParagraphFont"/>
    <w:rsid w:val="004D3D4D"/>
  </w:style>
  <w:style w:type="paragraph" w:styleId="Header">
    <w:name w:val="header"/>
    <w:basedOn w:val="Normal"/>
    <w:link w:val="HeaderChar"/>
    <w:uiPriority w:val="99"/>
    <w:unhideWhenUsed/>
    <w:rsid w:val="00556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496"/>
  </w:style>
  <w:style w:type="paragraph" w:styleId="Footer">
    <w:name w:val="footer"/>
    <w:basedOn w:val="Normal"/>
    <w:link w:val="FooterChar"/>
    <w:uiPriority w:val="99"/>
    <w:unhideWhenUsed/>
    <w:rsid w:val="00556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496"/>
  </w:style>
  <w:style w:type="paragraph" w:styleId="ListParagraph">
    <w:name w:val="List Paragraph"/>
    <w:basedOn w:val="Normal"/>
    <w:uiPriority w:val="34"/>
    <w:qFormat/>
    <w:rsid w:val="00091181"/>
    <w:pPr>
      <w:ind w:left="720"/>
      <w:contextualSpacing/>
    </w:pPr>
  </w:style>
  <w:style w:type="character" w:styleId="LineNumber">
    <w:name w:val="line number"/>
    <w:basedOn w:val="DefaultParagraphFont"/>
    <w:uiPriority w:val="99"/>
    <w:semiHidden/>
    <w:unhideWhenUsed/>
    <w:rsid w:val="00A556EF"/>
  </w:style>
  <w:style w:type="paragraph" w:styleId="BalloonText">
    <w:name w:val="Balloon Text"/>
    <w:basedOn w:val="Normal"/>
    <w:link w:val="BalloonTextChar"/>
    <w:uiPriority w:val="99"/>
    <w:semiHidden/>
    <w:unhideWhenUsed/>
    <w:rsid w:val="00B11A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A4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3D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22F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775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7517"/>
    <w:rPr>
      <w:sz w:val="20"/>
      <w:szCs w:val="20"/>
    </w:rPr>
  </w:style>
  <w:style w:type="character" w:styleId="EndnoteReference">
    <w:name w:val="endnote reference"/>
    <w:basedOn w:val="DefaultParagraphFont"/>
    <w:uiPriority w:val="99"/>
    <w:semiHidden/>
    <w:unhideWhenUsed/>
    <w:rsid w:val="00B77517"/>
    <w:rPr>
      <w:vertAlign w:val="superscript"/>
    </w:rPr>
  </w:style>
  <w:style w:type="character" w:styleId="Hyperlink">
    <w:name w:val="Hyperlink"/>
    <w:basedOn w:val="DefaultParagraphFont"/>
    <w:uiPriority w:val="99"/>
    <w:unhideWhenUsed/>
    <w:rsid w:val="004658A4"/>
    <w:rPr>
      <w:color w:val="0563C1" w:themeColor="hyperlink"/>
      <w:u w:val="single"/>
    </w:rPr>
  </w:style>
  <w:style w:type="character" w:customStyle="1" w:styleId="Heading2Char">
    <w:name w:val="Heading 2 Char"/>
    <w:basedOn w:val="DefaultParagraphFont"/>
    <w:link w:val="Heading2"/>
    <w:uiPriority w:val="9"/>
    <w:rsid w:val="00A22FA8"/>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A22FA8"/>
  </w:style>
  <w:style w:type="character" w:customStyle="1" w:styleId="highwire-citation-authors">
    <w:name w:val="highwire-citation-authors"/>
    <w:basedOn w:val="DefaultParagraphFont"/>
    <w:rsid w:val="00A22FA8"/>
  </w:style>
  <w:style w:type="character" w:customStyle="1" w:styleId="nlm-given-names">
    <w:name w:val="nlm-given-names"/>
    <w:basedOn w:val="DefaultParagraphFont"/>
    <w:rsid w:val="00A22FA8"/>
  </w:style>
  <w:style w:type="character" w:customStyle="1" w:styleId="nlm-surname">
    <w:name w:val="nlm-surname"/>
    <w:basedOn w:val="DefaultParagraphFont"/>
    <w:rsid w:val="00A22FA8"/>
  </w:style>
  <w:style w:type="character" w:customStyle="1" w:styleId="Heading1Char">
    <w:name w:val="Heading 1 Char"/>
    <w:basedOn w:val="DefaultParagraphFont"/>
    <w:link w:val="Heading1"/>
    <w:uiPriority w:val="9"/>
    <w:rsid w:val="004D3D4D"/>
    <w:rPr>
      <w:rFonts w:asciiTheme="majorHAnsi" w:eastAsiaTheme="majorEastAsia" w:hAnsiTheme="majorHAnsi" w:cstheme="majorBidi"/>
      <w:color w:val="2E74B5" w:themeColor="accent1" w:themeShade="BF"/>
      <w:sz w:val="32"/>
      <w:szCs w:val="32"/>
    </w:rPr>
  </w:style>
  <w:style w:type="character" w:customStyle="1" w:styleId="sr">
    <w:name w:val="sr"/>
    <w:basedOn w:val="DefaultParagraphFont"/>
    <w:rsid w:val="004D3D4D"/>
  </w:style>
  <w:style w:type="character" w:customStyle="1" w:styleId="sr-item-title">
    <w:name w:val="sr-item-title"/>
    <w:basedOn w:val="DefaultParagraphFont"/>
    <w:rsid w:val="004D3D4D"/>
  </w:style>
  <w:style w:type="character" w:customStyle="1" w:styleId="sr-item-subtitle">
    <w:name w:val="sr-item-subtitle"/>
    <w:basedOn w:val="DefaultParagraphFont"/>
    <w:rsid w:val="004D3D4D"/>
  </w:style>
  <w:style w:type="paragraph" w:styleId="Header">
    <w:name w:val="header"/>
    <w:basedOn w:val="Normal"/>
    <w:link w:val="HeaderChar"/>
    <w:uiPriority w:val="99"/>
    <w:unhideWhenUsed/>
    <w:rsid w:val="00556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496"/>
  </w:style>
  <w:style w:type="paragraph" w:styleId="Footer">
    <w:name w:val="footer"/>
    <w:basedOn w:val="Normal"/>
    <w:link w:val="FooterChar"/>
    <w:uiPriority w:val="99"/>
    <w:unhideWhenUsed/>
    <w:rsid w:val="00556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496"/>
  </w:style>
  <w:style w:type="paragraph" w:styleId="ListParagraph">
    <w:name w:val="List Paragraph"/>
    <w:basedOn w:val="Normal"/>
    <w:uiPriority w:val="34"/>
    <w:qFormat/>
    <w:rsid w:val="00091181"/>
    <w:pPr>
      <w:ind w:left="720"/>
      <w:contextualSpacing/>
    </w:pPr>
  </w:style>
  <w:style w:type="character" w:styleId="LineNumber">
    <w:name w:val="line number"/>
    <w:basedOn w:val="DefaultParagraphFont"/>
    <w:uiPriority w:val="99"/>
    <w:semiHidden/>
    <w:unhideWhenUsed/>
    <w:rsid w:val="00A556EF"/>
  </w:style>
  <w:style w:type="paragraph" w:styleId="BalloonText">
    <w:name w:val="Balloon Text"/>
    <w:basedOn w:val="Normal"/>
    <w:link w:val="BalloonTextChar"/>
    <w:uiPriority w:val="99"/>
    <w:semiHidden/>
    <w:unhideWhenUsed/>
    <w:rsid w:val="00B11A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A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44502">
      <w:bodyDiv w:val="1"/>
      <w:marLeft w:val="0"/>
      <w:marRight w:val="0"/>
      <w:marTop w:val="0"/>
      <w:marBottom w:val="0"/>
      <w:divBdr>
        <w:top w:val="none" w:sz="0" w:space="0" w:color="auto"/>
        <w:left w:val="none" w:sz="0" w:space="0" w:color="auto"/>
        <w:bottom w:val="none" w:sz="0" w:space="0" w:color="auto"/>
        <w:right w:val="none" w:sz="0" w:space="0" w:color="auto"/>
      </w:divBdr>
      <w:divsChild>
        <w:div w:id="2004433533">
          <w:marLeft w:val="0"/>
          <w:marRight w:val="0"/>
          <w:marTop w:val="0"/>
          <w:marBottom w:val="150"/>
          <w:divBdr>
            <w:top w:val="none" w:sz="0" w:space="0" w:color="auto"/>
            <w:left w:val="none" w:sz="0" w:space="0" w:color="auto"/>
            <w:bottom w:val="none" w:sz="0" w:space="0" w:color="auto"/>
            <w:right w:val="none" w:sz="0" w:space="0" w:color="auto"/>
          </w:divBdr>
        </w:div>
        <w:div w:id="1853177871">
          <w:marLeft w:val="0"/>
          <w:marRight w:val="0"/>
          <w:marTop w:val="0"/>
          <w:marBottom w:val="180"/>
          <w:divBdr>
            <w:top w:val="none" w:sz="0" w:space="0" w:color="auto"/>
            <w:left w:val="none" w:sz="0" w:space="0" w:color="auto"/>
            <w:bottom w:val="none" w:sz="0" w:space="0" w:color="auto"/>
            <w:right w:val="none" w:sz="0" w:space="0" w:color="auto"/>
          </w:divBdr>
        </w:div>
      </w:divsChild>
    </w:div>
    <w:div w:id="560099663">
      <w:bodyDiv w:val="1"/>
      <w:marLeft w:val="0"/>
      <w:marRight w:val="0"/>
      <w:marTop w:val="0"/>
      <w:marBottom w:val="0"/>
      <w:divBdr>
        <w:top w:val="none" w:sz="0" w:space="0" w:color="auto"/>
        <w:left w:val="none" w:sz="0" w:space="0" w:color="auto"/>
        <w:bottom w:val="none" w:sz="0" w:space="0" w:color="auto"/>
        <w:right w:val="none" w:sz="0" w:space="0" w:color="auto"/>
      </w:divBdr>
      <w:divsChild>
        <w:div w:id="720058421">
          <w:marLeft w:val="0"/>
          <w:marRight w:val="0"/>
          <w:marTop w:val="0"/>
          <w:marBottom w:val="210"/>
          <w:divBdr>
            <w:top w:val="none" w:sz="0" w:space="0" w:color="auto"/>
            <w:left w:val="none" w:sz="0" w:space="0" w:color="auto"/>
            <w:bottom w:val="none" w:sz="0" w:space="0" w:color="auto"/>
            <w:right w:val="none" w:sz="0" w:space="0" w:color="auto"/>
          </w:divBdr>
          <w:divsChild>
            <w:div w:id="803425216">
              <w:marLeft w:val="0"/>
              <w:marRight w:val="0"/>
              <w:marTop w:val="0"/>
              <w:marBottom w:val="0"/>
              <w:divBdr>
                <w:top w:val="none" w:sz="0" w:space="0" w:color="auto"/>
                <w:left w:val="none" w:sz="0" w:space="0" w:color="auto"/>
                <w:bottom w:val="none" w:sz="0" w:space="0" w:color="auto"/>
                <w:right w:val="none" w:sz="0" w:space="0" w:color="auto"/>
              </w:divBdr>
            </w:div>
          </w:divsChild>
        </w:div>
        <w:div w:id="1808425785">
          <w:marLeft w:val="0"/>
          <w:marRight w:val="0"/>
          <w:marTop w:val="0"/>
          <w:marBottom w:val="0"/>
          <w:divBdr>
            <w:top w:val="none" w:sz="0" w:space="0" w:color="auto"/>
            <w:left w:val="none" w:sz="0" w:space="0" w:color="auto"/>
            <w:bottom w:val="none" w:sz="0" w:space="0" w:color="auto"/>
            <w:right w:val="none" w:sz="0" w:space="0" w:color="auto"/>
          </w:divBdr>
        </w:div>
      </w:divsChild>
    </w:div>
    <w:div w:id="162584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www.ntsb.gov/safety/mwl/Pages/default.aspx" TargetMode="External"/><Relationship Id="rId2" Type="http://schemas.openxmlformats.org/officeDocument/2006/relationships/hyperlink" Target="https://www.faa.gov/news/fact_sheets/news_story.cfm?newsId=11186" TargetMode="External"/><Relationship Id="rId1" Type="http://schemas.openxmlformats.org/officeDocument/2006/relationships/hyperlink" Target="http://www.irgc.org/event/planning-adaptive-risk-regulation/" TargetMode="External"/><Relationship Id="rId4" Type="http://schemas.openxmlformats.org/officeDocument/2006/relationships/hyperlink" Target="http://www.deltawerken.com/Delta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9BC53FD-C581-4577-8F1A-5F621F9AE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cis11</dc:creator>
  <cp:lastModifiedBy>cis74</cp:lastModifiedBy>
  <cp:revision>2</cp:revision>
  <cp:lastPrinted>2016-03-16T18:27:00Z</cp:lastPrinted>
  <dcterms:created xsi:type="dcterms:W3CDTF">2016-09-14T14:03:00Z</dcterms:created>
  <dcterms:modified xsi:type="dcterms:W3CDTF">2016-09-14T14:03:00Z</dcterms:modified>
</cp:coreProperties>
</file>